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</w:t>
      </w:r>
    </w:p>
    <w:p>
      <w:pPr>
        <w:spacing w:after="240" w:line="640" w:lineRule="exact"/>
        <w:jc w:val="center"/>
        <w:rPr>
          <w:rFonts w:ascii="Times New Roman" w:hAnsi="Times New Roman" w:eastAsia="方正小标宋简体"/>
          <w:sz w:val="40"/>
          <w:szCs w:val="40"/>
          <w:lang w:val="zh-TW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  <w:lang w:val="zh-TW"/>
        </w:rPr>
        <w:t>“课程思政” 微课专项赛</w:t>
      </w:r>
      <w:r>
        <w:rPr>
          <w:rFonts w:ascii="Times New Roman" w:hAnsi="Times New Roman" w:eastAsia="方正小标宋简体"/>
          <w:sz w:val="40"/>
          <w:szCs w:val="40"/>
        </w:rPr>
        <w:t>课程</w:t>
      </w:r>
      <w:r>
        <w:rPr>
          <w:rFonts w:ascii="Times New Roman" w:hAnsi="Times New Roman" w:eastAsia="方正小标宋简体"/>
          <w:sz w:val="40"/>
          <w:szCs w:val="40"/>
          <w:lang w:val="zh-TW" w:eastAsia="zh-TW"/>
        </w:rPr>
        <w:t>微课</w:t>
      </w:r>
      <w:r>
        <w:rPr>
          <w:rFonts w:ascii="Times New Roman" w:hAnsi="Times New Roman" w:eastAsia="方正小标宋简体"/>
          <w:sz w:val="40"/>
          <w:szCs w:val="40"/>
          <w:lang w:val="zh-TW"/>
        </w:rPr>
        <w:t>设计书</w:t>
      </w:r>
      <w:bookmarkEnd w:id="0"/>
    </w:p>
    <w:tbl>
      <w:tblPr>
        <w:tblStyle w:val="3"/>
        <w:tblW w:w="864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924"/>
        <w:gridCol w:w="2003"/>
        <w:gridCol w:w="3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课程性质</w:t>
            </w:r>
            <w:r>
              <w:rPr>
                <w:rFonts w:ascii="Times New Roman" w:hAnsi="Times New Roman" w:eastAsia="仿宋_GB2312"/>
                <w:b/>
                <w:sz w:val="24"/>
                <w:vertAlign w:val="superscript"/>
              </w:rPr>
              <w:t>1</w:t>
            </w:r>
            <w:r>
              <w:rPr>
                <w:rFonts w:ascii="Times New Roman" w:hAnsi="Times New Roman" w:eastAsia="仿宋_GB2312"/>
                <w:b/>
                <w:sz w:val="24"/>
              </w:rPr>
              <w:t>：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授课对象：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微课章节名称（3个）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2.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494" w:firstLineChars="1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切入课程思政的课程知识点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（具体的课程知识要点）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思政教育的课程目标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知识点与思政教育结合的教学设计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（包括知识点教学过程中如何切入与衔接思政教育，具体思政教育内容，运用什么方法组织实施等。不少于3个教学设计。3个设计分开陈述，不够可另附页）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特色及创新（300字左右）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8"/>
              </w:rPr>
            </w:pPr>
          </w:p>
        </w:tc>
      </w:tr>
    </w:tbl>
    <w:p>
      <w:pPr>
        <w:pStyle w:val="2"/>
      </w:pPr>
      <w:r>
        <w:rPr>
          <w:rFonts w:ascii="Times New Roman" w:hAnsi="Times New Roman"/>
        </w:rPr>
        <w:t xml:space="preserve"> 如通识课程、公共基础课程、专业课程等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656E"/>
    <w:rsid w:val="5FE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2021-03-03T02:20:00Z</dcterms:created>
  <dc:creator>毛传雨</dc:creator>
  <cp:lastModifiedBy>毛传雨</cp:lastModifiedBy>
  <dcterms:modified xsi:type="dcterms:W3CDTF">2021-03-03T02:21:17Z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