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 xml:space="preserve">附件 </w:t>
      </w:r>
      <w:r>
        <w:rPr>
          <w:rFonts w:hint="eastAsia"/>
          <w:sz w:val="28"/>
          <w:szCs w:val="28"/>
          <w:lang w:val="en-US" w:eastAsia="zh-CN"/>
        </w:rPr>
        <w:t>3：</w:t>
      </w:r>
    </w:p>
    <w:p/>
    <w:p>
      <w:pPr>
        <w:rPr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</w:pPr>
      <w:r>
        <w:rPr>
          <w:rFonts w:hint="eastAsia" w:ascii="华文新魏" w:hAnsi="华文新魏" w:eastAsia="华文新魏" w:cs="华文新魏"/>
          <w:sz w:val="52"/>
          <w:szCs w:val="52"/>
        </w:rPr>
        <w:t>温州</w:t>
      </w:r>
      <w:r>
        <w:rPr>
          <w:rFonts w:hint="eastAsia" w:ascii="华文新魏" w:hAnsi="华文新魏" w:eastAsia="华文新魏" w:cs="华文新魏"/>
          <w:sz w:val="52"/>
          <w:szCs w:val="52"/>
          <w:lang w:val="en-US" w:eastAsia="zh-CN"/>
        </w:rPr>
        <w:t>理工学院应用技术型专业建设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华文新魏" w:hAnsi="华文新魏" w:eastAsia="华文新魏" w:cs="华文新魏"/>
          <w:sz w:val="52"/>
          <w:szCs w:val="52"/>
        </w:rPr>
      </w:pPr>
      <w:r>
        <w:rPr>
          <w:rFonts w:hint="eastAsia" w:ascii="华文新魏" w:hAnsi="华文新魏" w:eastAsia="华文新魏" w:cs="华文新魏"/>
          <w:sz w:val="52"/>
          <w:szCs w:val="52"/>
        </w:rPr>
        <w:t>中期绩效评价自查表</w:t>
      </w:r>
    </w:p>
    <w:p>
      <w:pPr>
        <w:jc w:val="center"/>
      </w:pPr>
    </w:p>
    <w:p>
      <w:pPr>
        <w:pStyle w:val="2"/>
        <w:rPr>
          <w:rFonts w:ascii="微软雅黑"/>
          <w:sz w:val="6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4595"/>
      </w:tblGrid>
      <w:tr>
        <w:trPr>
          <w:trHeight w:val="907" w:hRule="exact"/>
          <w:jc w:val="center"/>
        </w:trPr>
        <w:tc>
          <w:tcPr>
            <w:tcW w:w="1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专业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名称：</w:t>
            </w:r>
          </w:p>
        </w:tc>
        <w:tc>
          <w:tcPr>
            <w:tcW w:w="4595" w:type="dxa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70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rPr>
          <w:trHeight w:val="907" w:hRule="exact"/>
          <w:jc w:val="center"/>
        </w:trPr>
        <w:tc>
          <w:tcPr>
            <w:tcW w:w="1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所属单位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45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70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负 责 人：</w:t>
            </w:r>
          </w:p>
        </w:tc>
        <w:tc>
          <w:tcPr>
            <w:tcW w:w="45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70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94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jc w:val="distribute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459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napToGrid w:val="0"/>
              <w:spacing w:line="700" w:lineRule="atLeas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3"/>
        </w:rPr>
      </w:pPr>
    </w:p>
    <w:p>
      <w:pPr>
        <w:pStyle w:val="2"/>
        <w:spacing w:before="4"/>
        <w:rPr>
          <w:rFonts w:ascii="Times New Roman"/>
          <w:sz w:val="23"/>
        </w:rPr>
      </w:pPr>
    </w:p>
    <w:p>
      <w:pPr>
        <w:pStyle w:val="2"/>
        <w:spacing w:before="4"/>
        <w:rPr>
          <w:rFonts w:ascii="Times New Roman"/>
          <w:sz w:val="23"/>
        </w:rPr>
      </w:pPr>
    </w:p>
    <w:p>
      <w:pPr>
        <w:pStyle w:val="2"/>
        <w:spacing w:before="4"/>
        <w:rPr>
          <w:rFonts w:ascii="Times New Roman"/>
          <w:sz w:val="23"/>
        </w:rPr>
      </w:pPr>
    </w:p>
    <w:p>
      <w:pPr>
        <w:pStyle w:val="2"/>
        <w:spacing w:before="4"/>
        <w:rPr>
          <w:rFonts w:ascii="Times New Roman"/>
          <w:sz w:val="23"/>
        </w:rPr>
      </w:pPr>
    </w:p>
    <w:p>
      <w:pPr>
        <w:pStyle w:val="2"/>
        <w:spacing w:before="4"/>
        <w:rPr>
          <w:rFonts w:ascii="Times New Roman"/>
          <w:sz w:val="23"/>
        </w:rPr>
      </w:pPr>
    </w:p>
    <w:p>
      <w:pPr>
        <w:snapToGrid w:val="0"/>
        <w:jc w:val="center"/>
        <w:rPr>
          <w:rFonts w:hint="eastAsia" w:ascii="仿宋_GB2312" w:eastAsia="仿宋_GB2312"/>
          <w:b/>
          <w:bCs/>
          <w:sz w:val="30"/>
        </w:rPr>
      </w:pPr>
    </w:p>
    <w:p>
      <w:pPr>
        <w:pStyle w:val="2"/>
        <w:jc w:val="center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  <w:lang w:val="en-US" w:eastAsia="zh-CN"/>
        </w:rPr>
        <w:t>温州理工学院</w:t>
      </w:r>
      <w:r>
        <w:rPr>
          <w:rFonts w:hint="eastAsia" w:ascii="仿宋_GB2312" w:eastAsia="仿宋_GB2312"/>
          <w:b/>
          <w:bCs/>
          <w:sz w:val="30"/>
        </w:rPr>
        <w:t>教务</w:t>
      </w:r>
      <w:r>
        <w:rPr>
          <w:rFonts w:hint="eastAsia" w:ascii="仿宋_GB2312" w:eastAsia="仿宋_GB2312"/>
          <w:b/>
          <w:bCs/>
          <w:sz w:val="30"/>
          <w:lang w:val="en-US" w:eastAsia="zh-CN"/>
        </w:rPr>
        <w:t>处</w:t>
      </w:r>
      <w:r>
        <w:rPr>
          <w:rFonts w:hint="eastAsia" w:ascii="仿宋_GB2312" w:eastAsia="仿宋_GB2312"/>
          <w:b/>
          <w:bCs/>
          <w:sz w:val="30"/>
        </w:rPr>
        <w:t>制</w:t>
      </w:r>
    </w:p>
    <w:p>
      <w:pPr>
        <w:pStyle w:val="2"/>
        <w:jc w:val="center"/>
        <w:rPr>
          <w:rFonts w:hint="default" w:ascii="仿宋_GB2312" w:eastAsia="仿宋_GB2312"/>
          <w:b/>
          <w:bCs/>
          <w:sz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lang w:val="en-US" w:eastAsia="zh-CN"/>
        </w:rPr>
        <w:t>二〇二一年十一月</w:t>
      </w:r>
    </w:p>
    <w:p>
      <w:pPr>
        <w:pStyle w:val="2"/>
        <w:rPr>
          <w:rFonts w:hint="eastAsia" w:ascii="仿宋_GB2312" w:eastAsia="仿宋_GB2312"/>
          <w:b/>
          <w:bCs/>
          <w:sz w:val="30"/>
        </w:rPr>
      </w:pPr>
    </w:p>
    <w:p>
      <w:pPr>
        <w:pStyle w:val="2"/>
        <w:spacing w:before="5"/>
        <w:rPr>
          <w:rFonts w:ascii="Times New Roman"/>
          <w:sz w:val="23"/>
        </w:rPr>
      </w:pPr>
    </w:p>
    <w:p>
      <w:pPr>
        <w:pStyle w:val="2"/>
        <w:spacing w:before="5"/>
        <w:rPr>
          <w:rFonts w:ascii="Times New Roman"/>
          <w:sz w:val="23"/>
        </w:rPr>
      </w:pPr>
    </w:p>
    <w:tbl>
      <w:tblPr>
        <w:tblStyle w:val="5"/>
        <w:tblW w:w="0" w:type="auto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278"/>
        <w:gridCol w:w="1082"/>
        <w:gridCol w:w="5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98" w:type="dxa"/>
            <w:gridSpan w:val="4"/>
          </w:tcPr>
          <w:p>
            <w:pPr>
              <w:pStyle w:val="10"/>
              <w:spacing w:before="187"/>
              <w:ind w:left="107"/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  <w:t>一、项目进展及成效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208" w:type="dxa"/>
            <w:gridSpan w:val="2"/>
          </w:tcPr>
          <w:p>
            <w:pPr>
              <w:pStyle w:val="10"/>
              <w:spacing w:before="2"/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</w:pPr>
          </w:p>
          <w:p>
            <w:pPr>
              <w:pStyle w:val="10"/>
              <w:ind w:left="927" w:right="918"/>
              <w:jc w:val="center"/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  <w:t>建设目标</w:t>
            </w:r>
          </w:p>
        </w:tc>
        <w:tc>
          <w:tcPr>
            <w:tcW w:w="1082" w:type="dxa"/>
          </w:tcPr>
          <w:p>
            <w:pPr>
              <w:pStyle w:val="10"/>
              <w:spacing w:before="2"/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</w:pPr>
          </w:p>
          <w:p>
            <w:pPr>
              <w:pStyle w:val="10"/>
              <w:jc w:val="center"/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  <w:t>完成率</w:t>
            </w:r>
          </w:p>
        </w:tc>
        <w:tc>
          <w:tcPr>
            <w:tcW w:w="5308" w:type="dxa"/>
          </w:tcPr>
          <w:p>
            <w:pPr>
              <w:pStyle w:val="10"/>
              <w:spacing w:before="2"/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</w:pPr>
          </w:p>
          <w:p>
            <w:pPr>
              <w:pStyle w:val="10"/>
              <w:ind w:left="1272" w:right="1263"/>
              <w:jc w:val="center"/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2"/>
                <w:lang w:val="en-US" w:eastAsia="zh-CN" w:bidi="zh-CN"/>
              </w:rPr>
              <w:t>主要成效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Align w:val="center"/>
          </w:tcPr>
          <w:p>
            <w:pPr>
              <w:pStyle w:val="10"/>
              <w:spacing w:before="97"/>
              <w:ind w:left="57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1.专业规划与保障</w:t>
            </w: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9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1.1 规划科学、目标明确、思路清晰，领导重视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restart"/>
            <w:vAlign w:val="center"/>
          </w:tcPr>
          <w:p>
            <w:pPr>
              <w:pStyle w:val="10"/>
              <w:spacing w:before="13"/>
              <w:jc w:val="both"/>
              <w:rPr>
                <w:rFonts w:hint="eastAsia" w:asciiTheme="minorEastAsia" w:hAnsiTheme="minorEastAsia" w:eastAsiaTheme="minorEastAsia" w:cstheme="minorEastAsia"/>
                <w:b/>
                <w:sz w:val="12"/>
              </w:rPr>
            </w:pPr>
          </w:p>
          <w:p>
            <w:pPr>
              <w:pStyle w:val="10"/>
              <w:spacing w:before="0"/>
              <w:ind w:left="57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2.人才培养方案</w:t>
            </w:r>
          </w:p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2.1 符合培养目标，注重应用、突出能力培养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2.2 实践学分占课程总学分比例*①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restart"/>
            <w:vAlign w:val="center"/>
          </w:tcPr>
          <w:p>
            <w:pPr>
              <w:pStyle w:val="10"/>
              <w:spacing w:before="11"/>
              <w:jc w:val="both"/>
              <w:rPr>
                <w:rFonts w:hint="eastAsia" w:asciiTheme="minorEastAsia" w:hAnsiTheme="minorEastAsia" w:eastAsiaTheme="minorEastAsia" w:cstheme="minorEastAsia"/>
                <w:b/>
                <w:sz w:val="26"/>
              </w:rPr>
            </w:pPr>
          </w:p>
          <w:p>
            <w:pPr>
              <w:pStyle w:val="10"/>
              <w:spacing w:before="0"/>
              <w:ind w:left="57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3.师资建设</w:t>
            </w:r>
          </w:p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109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3.1 各类交流学习参与率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5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3.2 “双师型”教师占专任教师的比例*②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3.3 院级及以上教学奖项建设期内累计数量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restart"/>
            <w:vAlign w:val="center"/>
          </w:tcPr>
          <w:p>
            <w:pPr>
              <w:pStyle w:val="10"/>
              <w:spacing w:before="0"/>
              <w:jc w:val="both"/>
              <w:rPr>
                <w:rFonts w:hint="eastAsia" w:asciiTheme="minorEastAsia" w:hAnsiTheme="minorEastAsia" w:eastAsiaTheme="minorEastAsia" w:cstheme="minorEastAsia"/>
                <w:b/>
                <w:sz w:val="18"/>
              </w:rPr>
            </w:pPr>
          </w:p>
          <w:p>
            <w:pPr>
              <w:pStyle w:val="10"/>
              <w:spacing w:before="14"/>
              <w:jc w:val="both"/>
              <w:rPr>
                <w:rFonts w:hint="eastAsia" w:asciiTheme="minorEastAsia" w:hAnsiTheme="minorEastAsia" w:eastAsiaTheme="minorEastAsia" w:cstheme="minorEastAsia"/>
                <w:b/>
                <w:sz w:val="25"/>
              </w:rPr>
            </w:pPr>
          </w:p>
          <w:p>
            <w:pPr>
              <w:pStyle w:val="10"/>
              <w:spacing w:before="0"/>
              <w:ind w:left="57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4.校企合作</w:t>
            </w:r>
          </w:p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4.1 基地数量与年级学生比例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4.2 实质性深度合作基地数量与年级学生比例*③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4.3 专业建设指导委员会成员校外人员比例*④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4.4 每年专业课程校外兼职教师开设门数*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4.5 教师社会服务项目建设期内累计数量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restart"/>
            <w:vAlign w:val="center"/>
          </w:tcPr>
          <w:p>
            <w:pPr>
              <w:pStyle w:val="10"/>
              <w:spacing w:before="3"/>
              <w:jc w:val="both"/>
              <w:rPr>
                <w:rFonts w:hint="eastAsia" w:asciiTheme="minorEastAsia" w:hAnsiTheme="minorEastAsia" w:eastAsiaTheme="minorEastAsia" w:cstheme="minorEastAsia"/>
                <w:b/>
                <w:sz w:val="13"/>
              </w:rPr>
            </w:pPr>
          </w:p>
          <w:p>
            <w:pPr>
              <w:pStyle w:val="10"/>
              <w:spacing w:before="0"/>
              <w:ind w:left="57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5.教学建设与改革</w:t>
            </w: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5.1 每年教研活动次数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5.2 可选择性修读课程学分比例*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5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5.3 分层分类教学的课程比例*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5.4 小班化教学课程比例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5.5 分阶段考核（至少 3 次）课程比例*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5.6 运用真实任务、真实案例教学的课程比例*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5.7 学生参加实训实习的累计时间（年）*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5.8 课程建设与教学改革项目建设期内累计数量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5.9 适用性教材建设项目建设期内累计数量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restart"/>
            <w:vAlign w:val="center"/>
          </w:tcPr>
          <w:p>
            <w:pPr>
              <w:pStyle w:val="10"/>
              <w:spacing w:before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6.人才培养</w:t>
            </w: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6.1 初次就业率*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6.2 对口就业率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5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6.3 创新创业与实践参与率⑤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6.4 创新创业与实践获奖率⑥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spacing w:before="47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6.5 毕业设计(论文)应用性课题所占比例⑦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930" w:type="dxa"/>
            <w:vMerge w:val="continue"/>
          </w:tcPr>
          <w:p>
            <w:pPr>
              <w:pStyle w:val="10"/>
              <w:ind w:left="7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pStyle w:val="10"/>
              <w:ind w:left="54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6.6 毕业生对母校的总满意度⑧</w:t>
            </w:r>
          </w:p>
        </w:tc>
        <w:tc>
          <w:tcPr>
            <w:tcW w:w="1082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0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带*号的为必须达标项，其他不超过两项未达标，方可通过评估。</w:t>
      </w: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cs="宋体"/>
          <w:sz w:val="21"/>
          <w:szCs w:val="21"/>
          <w:lang w:val="en-US" w:eastAsia="zh-CN"/>
        </w:rPr>
        <w:t>2.建设目标后数字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说明详见附件2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《温州大学瓯江学院应用技术型建设专业管理办法（试行）》</w:t>
      </w:r>
    </w:p>
    <w:p>
      <w:pPr>
        <w:spacing w:after="0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footerReference r:id="rId5" w:type="default"/>
          <w:footerReference r:id="rId6" w:type="even"/>
          <w:pgSz w:w="11910" w:h="16840"/>
          <w:pgMar w:top="1580" w:right="1083" w:bottom="1700" w:left="1080" w:header="0" w:footer="150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  <w:r>
        <w:pict>
          <v:group id="_x0000_s1032" o:spid="_x0000_s1032" o:spt="203" style="position:absolute;left:0pt;margin-left:72.3pt;margin-top:99.6pt;height:631.45pt;width:452.5pt;mso-position-horizontal-relative:page;mso-position-vertical-relative:page;z-index:-251655168;mso-width-relative:page;mso-height-relative:page;" coordorigin="1476,2098" coordsize="9050,12629">
            <o:lock v:ext="edit"/>
            <v:line id="_x0000_s1033" o:spid="_x0000_s1033" o:spt="20" style="position:absolute;left:1486;top:2103;height:0;width:903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4" o:spid="_x0000_s1034" o:spt="20" style="position:absolute;left:1481;top:2098;height:1261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rect id="_x0000_s1035" o:spid="_x0000_s1035" o:spt="1" style="position:absolute;left:1476;top:1471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6" o:spid="_x0000_s1036" o:spt="20" style="position:absolute;left:1486;top:14722;height:0;width:903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10521;top:2098;height:12619;width:0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rect id="_x0000_s1038" o:spid="_x0000_s1038" o:spt="1" style="position:absolute;left:10516;top:14716;height:10;width:10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</v:group>
        </w:pict>
      </w:r>
    </w:p>
    <w:p>
      <w:pPr>
        <w:ind w:firstLine="480" w:firstLineChars="200"/>
        <w:rPr>
          <w:rFonts w:hint="eastAsia" w:ascii="楷体_GB2312" w:eastAsia="楷体_GB2312"/>
          <w:sz w:val="24"/>
          <w:lang w:val="en-US" w:eastAsia="zh-CN"/>
        </w:rPr>
        <w:sectPr>
          <w:pgSz w:w="11910" w:h="16840"/>
          <w:pgMar w:top="1580" w:right="960" w:bottom="1780" w:left="1080" w:header="0" w:footer="1589" w:gutter="0"/>
          <w:cols w:space="720" w:num="1"/>
        </w:sectPr>
      </w:pPr>
      <w:r>
        <w:rPr>
          <w:rFonts w:hint="eastAsia" w:ascii="楷体_GB2312" w:eastAsia="楷体_GB2312"/>
          <w:sz w:val="24"/>
          <w:lang w:val="en-US" w:eastAsia="zh-CN"/>
        </w:rPr>
        <w:t>二、成功经验和工作亮点</w:t>
      </w:r>
    </w:p>
    <w:p>
      <w:pPr>
        <w:pStyle w:val="2"/>
        <w:rPr>
          <w:rFonts w:ascii="Times New Roman"/>
          <w:sz w:val="20"/>
        </w:rPr>
      </w:pPr>
    </w:p>
    <w:tbl>
      <w:tblPr>
        <w:tblStyle w:val="5"/>
        <w:tblpPr w:leftFromText="180" w:rightFromText="180" w:vertAnchor="text" w:horzAnchor="page" w:tblpX="1444" w:tblpY="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5" w:hRule="atLeast"/>
        </w:trPr>
        <w:tc>
          <w:tcPr>
            <w:tcW w:w="9040" w:type="dxa"/>
            <w:tcBorders>
              <w:bottom w:val="single" w:color="000000" w:sz="6" w:space="0"/>
            </w:tcBorders>
          </w:tcPr>
          <w:p>
            <w:pPr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三、存在问题或需要说明的情况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5" w:hRule="atLeast"/>
        </w:trPr>
        <w:tc>
          <w:tcPr>
            <w:tcW w:w="9040" w:type="dxa"/>
            <w:tcBorders>
              <w:bottom w:val="single" w:color="000000" w:sz="6" w:space="0"/>
            </w:tcBorders>
          </w:tcPr>
          <w:p>
            <w:pPr>
              <w:rPr>
                <w:rFonts w:hint="eastAsia" w:ascii="楷体_GB2312" w:eastAsia="楷体_GB2312"/>
                <w:sz w:val="24"/>
                <w:lang w:val="zh-CN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四、</w:t>
            </w:r>
            <w:r>
              <w:rPr>
                <w:rFonts w:hint="eastAsia" w:ascii="楷体_GB2312" w:eastAsia="楷体_GB2312"/>
                <w:sz w:val="24"/>
                <w:lang w:val="zh-CN" w:eastAsia="zh-CN"/>
              </w:rPr>
              <w:t>后期建设方案及保证项目完成措施：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right="560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</w:t>
            </w:r>
          </w:p>
          <w:p>
            <w:pPr>
              <w:ind w:right="56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负责人(签字):</w:t>
            </w:r>
          </w:p>
          <w:p>
            <w:pPr>
              <w:pStyle w:val="10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136" w:after="0" w:line="240" w:lineRule="auto"/>
              <w:ind w:right="0" w:rightChars="0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　　　                        年   月   日</w:t>
            </w:r>
          </w:p>
        </w:tc>
      </w:tr>
    </w:tbl>
    <w:p>
      <w:pPr>
        <w:pStyle w:val="2"/>
        <w:spacing w:before="5"/>
        <w:rPr>
          <w:rFonts w:ascii="Times New Roman"/>
          <w:sz w:val="23"/>
        </w:rPr>
      </w:pPr>
    </w:p>
    <w:p>
      <w:pPr>
        <w:spacing w:after="0"/>
        <w:rPr>
          <w:rFonts w:hint="eastAsia" w:ascii="黑体" w:eastAsia="黑体"/>
          <w:sz w:val="24"/>
        </w:rPr>
        <w:sectPr>
          <w:pgSz w:w="11910" w:h="16840"/>
          <w:pgMar w:top="1580" w:right="960" w:bottom="1700" w:left="1080" w:header="0" w:footer="1509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tbl>
      <w:tblPr>
        <w:tblStyle w:val="5"/>
        <w:tblpPr w:leftFromText="180" w:rightFromText="180" w:vertAnchor="text" w:horzAnchor="page" w:tblpX="1557" w:tblpY="20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89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经费支出情况:  </w:t>
            </w:r>
          </w:p>
          <w:p>
            <w:pPr>
              <w:ind w:firstLine="3520" w:firstLineChars="1600"/>
              <w:rPr>
                <w:rFonts w:hint="eastAsia" w:ascii="楷体_GB2312" w:eastAsia="楷体_GB2312"/>
              </w:rPr>
            </w:pPr>
          </w:p>
          <w:p>
            <w:pPr>
              <w:ind w:firstLine="3520" w:firstLineChars="1600"/>
              <w:rPr>
                <w:rFonts w:hint="eastAsia" w:ascii="楷体_GB2312" w:eastAsia="楷体_GB2312"/>
              </w:rPr>
            </w:pPr>
          </w:p>
          <w:p>
            <w:pPr>
              <w:ind w:firstLine="3520" w:firstLineChars="1600"/>
              <w:rPr>
                <w:rFonts w:hint="eastAsia" w:ascii="楷体_GB2312" w:eastAsia="楷体_GB2312"/>
              </w:rPr>
            </w:pPr>
          </w:p>
          <w:p>
            <w:pPr>
              <w:ind w:firstLine="3520" w:firstLineChars="1600"/>
              <w:rPr>
                <w:rFonts w:hint="eastAsia" w:ascii="楷体_GB2312" w:eastAsia="楷体_GB2312"/>
              </w:rPr>
            </w:pPr>
          </w:p>
          <w:p>
            <w:pPr>
              <w:ind w:firstLine="3520" w:firstLineChars="1600"/>
              <w:rPr>
                <w:rFonts w:hint="eastAsia" w:ascii="楷体_GB2312" w:eastAsia="楷体_GB2312"/>
              </w:rPr>
            </w:pPr>
          </w:p>
          <w:p>
            <w:pPr>
              <w:ind w:firstLine="3520" w:firstLineChars="1600"/>
              <w:rPr>
                <w:rFonts w:hint="eastAsia" w:ascii="楷体_GB2312" w:eastAsia="楷体_GB2312"/>
              </w:rPr>
            </w:pPr>
          </w:p>
          <w:p>
            <w:pPr>
              <w:ind w:firstLine="600" w:firstLineChars="2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楷体_GB2312" w:eastAsia="楷体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总计：         结余：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89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下年度经费支出预算: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</w:t>
            </w:r>
          </w:p>
          <w:p>
            <w:pPr>
              <w:ind w:firstLine="3300" w:firstLineChars="1500"/>
              <w:rPr>
                <w:rFonts w:hint="eastAsia" w:ascii="楷体_GB2312" w:eastAsia="楷体_GB2312"/>
              </w:rPr>
            </w:pPr>
          </w:p>
          <w:p>
            <w:pPr>
              <w:ind w:firstLine="3300" w:firstLineChars="1500"/>
              <w:rPr>
                <w:rFonts w:hint="eastAsia" w:ascii="楷体_GB2312" w:eastAsia="楷体_GB2312"/>
              </w:rPr>
            </w:pPr>
          </w:p>
          <w:p>
            <w:pPr>
              <w:ind w:firstLine="3300" w:firstLineChars="1500"/>
              <w:rPr>
                <w:rFonts w:hint="eastAsia" w:ascii="楷体_GB2312" w:eastAsia="楷体_GB2312"/>
              </w:rPr>
            </w:pPr>
          </w:p>
          <w:p>
            <w:pPr>
              <w:ind w:firstLine="3300" w:firstLineChars="1500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</w:t>
            </w:r>
          </w:p>
          <w:p>
            <w:pPr>
              <w:ind w:firstLine="3300" w:firstLineChars="1500"/>
              <w:rPr>
                <w:rFonts w:hint="eastAsia" w:ascii="楷体_GB2312" w:eastAsia="楷体_GB2312"/>
              </w:rPr>
            </w:pPr>
          </w:p>
          <w:p>
            <w:pPr>
              <w:ind w:firstLine="4620" w:firstLineChars="2100"/>
              <w:rPr>
                <w:rFonts w:hint="eastAsia" w:ascii="楷体_GB2312" w:eastAsia="楷体_GB2312"/>
              </w:rPr>
            </w:pP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9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归属单位意见:</w:t>
            </w:r>
          </w:p>
          <w:p>
            <w:pPr>
              <w:ind w:firstLine="3960" w:firstLineChars="1800"/>
              <w:rPr>
                <w:rFonts w:hint="eastAsia" w:ascii="楷体_GB2312" w:eastAsia="楷体_GB2312"/>
              </w:rPr>
            </w:pPr>
          </w:p>
          <w:p>
            <w:pPr>
              <w:ind w:firstLine="3960" w:firstLineChars="1800"/>
              <w:rPr>
                <w:rFonts w:hint="eastAsia" w:ascii="楷体_GB2312" w:eastAsia="楷体_GB2312"/>
              </w:rPr>
            </w:pPr>
          </w:p>
          <w:p>
            <w:pPr>
              <w:ind w:firstLine="3960" w:firstLineChars="1800"/>
              <w:rPr>
                <w:rFonts w:hint="eastAsia" w:ascii="楷体_GB2312" w:eastAsia="楷体_GB2312"/>
              </w:rPr>
            </w:pPr>
          </w:p>
          <w:p>
            <w:pPr>
              <w:ind w:firstLine="3960" w:firstLineChars="1800"/>
              <w:rPr>
                <w:rFonts w:hint="eastAsia" w:ascii="楷体_GB2312" w:eastAsia="楷体_GB2312"/>
              </w:rPr>
            </w:pPr>
            <w:bookmarkStart w:id="0" w:name="_GoBack"/>
            <w:bookmarkEnd w:id="0"/>
          </w:p>
          <w:p>
            <w:pPr>
              <w:ind w:firstLine="3960" w:firstLineChars="1800"/>
              <w:rPr>
                <w:rFonts w:hint="eastAsia" w:ascii="楷体_GB2312" w:eastAsia="楷体_GB2312"/>
              </w:rPr>
            </w:pPr>
          </w:p>
          <w:p>
            <w:pPr>
              <w:ind w:firstLine="4320" w:firstLineChars="18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负责人签字(公章):</w:t>
            </w:r>
          </w:p>
          <w:p>
            <w:pPr>
              <w:ind w:firstLine="5520" w:firstLineChars="23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8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教务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处</w:t>
            </w:r>
            <w:r>
              <w:rPr>
                <w:rFonts w:hint="eastAsia" w:ascii="楷体_GB2312" w:eastAsia="楷体_GB2312"/>
                <w:sz w:val="24"/>
              </w:rPr>
              <w:t>意见:</w:t>
            </w: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400" w:firstLineChars="2000"/>
              <w:rPr>
                <w:rFonts w:hint="eastAsia" w:ascii="楷体_GB2312" w:eastAsia="楷体_GB2312"/>
              </w:rPr>
            </w:pPr>
          </w:p>
          <w:p>
            <w:pPr>
              <w:ind w:firstLine="4800" w:firstLineChars="20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负责人签字(公章):</w:t>
            </w:r>
          </w:p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  年   月   日</w:t>
            </w:r>
          </w:p>
        </w:tc>
      </w:tr>
    </w:tbl>
    <w:p/>
    <w:sectPr>
      <w:pgSz w:w="11910" w:h="16840"/>
      <w:pgMar w:top="1580" w:right="960" w:bottom="1700" w:left="1080" w:header="0" w:footer="15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52838C-722F-4161-86A3-A1DFE3B155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13E13054-3543-4CB3-AB3F-821DD7DCE8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001F996-18E8-4CB1-8141-DBDA803693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743B5B2-732A-4E32-A628-CF7F71483C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A564F023-A890-4B82-AFB3-2CBE7EF8F1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56.5pt;margin-top:751.45pt;height:17.55pt;width:4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96.45pt;margin-top:751.45pt;height:17.55pt;width:4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/>
                    <w:sz w:val="28"/>
                  </w:rPr>
                </w:pPr>
                <w:r>
                  <w:rPr>
                    <w:rFonts w:ascii="Times New Roman" w:hAnsi="Times New Roman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1C6D71FD"/>
    <w:rsid w:val="248767E3"/>
    <w:rsid w:val="26D62746"/>
    <w:rsid w:val="3D305590"/>
    <w:rsid w:val="42696390"/>
    <w:rsid w:val="4A956CC3"/>
    <w:rsid w:val="4CAD44FB"/>
    <w:rsid w:val="5A394A17"/>
    <w:rsid w:val="77653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2021-11-16T03:32:00Z</dcterms:created>
  <dc:creator>nanpn</dc:creator>
  <cp:lastModifiedBy>飞燕</cp:lastModifiedBy>
  <dcterms:modified xsi:type="dcterms:W3CDTF">2021-11-17T08:08:40Z</dcterms:modified>
  <dc:title>办函2013样式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5BA63B2517B64B5AA096A5FA16E1A4C6</vt:lpwstr>
  </property>
</Properties>
</file>