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F2" w:rsidRPr="000B6149" w:rsidRDefault="00E627E4">
      <w:pPr>
        <w:spacing w:after="157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温州理工学院校外实践教育基地建设管理办法</w:t>
      </w:r>
    </w:p>
    <w:p w:rsidR="006E72F2" w:rsidRPr="000B6149" w:rsidRDefault="000475D9">
      <w:pPr>
        <w:spacing w:after="164" w:line="259" w:lineRule="auto"/>
        <w:ind w:left="0" w:right="23" w:firstLine="0"/>
        <w:jc w:val="center"/>
        <w:rPr>
          <w:color w:val="000000" w:themeColor="text1"/>
        </w:rPr>
      </w:pPr>
      <w:r>
        <w:rPr>
          <w:color w:val="000000" w:themeColor="text1"/>
          <w:sz w:val="30"/>
        </w:rPr>
        <w:t>（征求意见稿）</w:t>
      </w:r>
      <w:r w:rsidR="00E627E4" w:rsidRPr="000B6149">
        <w:rPr>
          <w:color w:val="000000" w:themeColor="text1"/>
          <w:sz w:val="30"/>
        </w:rPr>
        <w:t xml:space="preserve"> </w:t>
      </w:r>
    </w:p>
    <w:p w:rsidR="006E72F2" w:rsidRPr="000B6149" w:rsidRDefault="00E627E4">
      <w:pPr>
        <w:ind w:left="91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学是高等教育的重要教学环节之一，对指导学生理论联系实际，培养学生创新精神与综合素质具有不可替代的作用。通过建设实践基地，承担高校学生的校外实践教育任务，建立高校和行业、企事业单位、科研院所、政法机关联合培养人才新机制，培养学生的实践动手能力，提升学生的创新精神、实践能力、社会责任感和就业能力。为了进一步加强和规范校外实践教育基地的建设和管理，促进校企合作和产学研结合，强化应用型人才培养，不断提高实践教学质量，特制订本管理办法。 </w:t>
      </w:r>
    </w:p>
    <w:p w:rsidR="006E72F2" w:rsidRPr="000B6149" w:rsidRDefault="00E627E4">
      <w:pPr>
        <w:spacing w:after="138" w:line="259" w:lineRule="auto"/>
        <w:ind w:left="67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一、原则与要求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由各二级学院根据专业学科特点与有关政府部门、企事业单位、科研机构等联合在校外建立，须具有一定规模且相对稳定，为相关专业的实习、实训、毕业设计（论文）、社会实践等专业实践教学活动提供场地和指导师资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基地建设应把教学质量放在首位，满足实践教学需要，完成实践教学大纲规定的各项内容，使学生得到实际锻炼，保证实践教学质量。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基地建设应坚持互惠互利，双向受益原则。学校利用基地条件安排学生实习，培养学生的实践能力和创新能力；基地则可借助学校的科研、师资力量开展生产、科研及人员培训等工作。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基地应具有区域或行业代表性，有一定的生产、开发规模和较先进的技术、管理水平，能满足完成实践教学任务的各项要求。 </w:t>
      </w:r>
    </w:p>
    <w:p w:rsidR="006E72F2" w:rsidRPr="000B6149" w:rsidRDefault="00E627E4">
      <w:pPr>
        <w:numPr>
          <w:ilvl w:val="0"/>
          <w:numId w:val="1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基地应具有健全的组织管理体系，以人才培养为目标，根据实际情况探索建立可持续发展的管理模式和运行机制，建立有关校外实践教育的教学运行、学生管理、安全保障等规章制度。 </w:t>
      </w:r>
    </w:p>
    <w:p w:rsidR="006E72F2" w:rsidRPr="000B6149" w:rsidRDefault="00E627E4">
      <w:pPr>
        <w:numPr>
          <w:ilvl w:val="0"/>
          <w:numId w:val="2"/>
        </w:numPr>
        <w:spacing w:after="142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尽量就近设点、交通便利，节约实践教学经费。 </w:t>
      </w:r>
    </w:p>
    <w:p w:rsidR="006E72F2" w:rsidRPr="000B6149" w:rsidRDefault="00E627E4">
      <w:pPr>
        <w:numPr>
          <w:ilvl w:val="0"/>
          <w:numId w:val="2"/>
        </w:numPr>
        <w:spacing w:after="141" w:line="259" w:lineRule="auto"/>
        <w:ind w:hanging="48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每个专业原则上应保证有2个以上校外实践教育基地。 </w:t>
      </w:r>
    </w:p>
    <w:p w:rsidR="006E72F2" w:rsidRPr="000B6149" w:rsidRDefault="00E627E4">
      <w:pPr>
        <w:spacing w:after="139" w:line="259" w:lineRule="auto"/>
        <w:ind w:left="737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二、学校与实践基地共建单位应承担的职责和义务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学校应主动与实践基地共建单位合作，结合该单位实际和发展情况制定切实可行的实践教育基地建设计划，与实践基地共建单位共同制定实习（实训）计划，组织实施实践教学。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在国家政策许可范围内，学校在人才培训、委托培养、员工培训、咨询服务、信息交流、学生就业等方面对实践基地共建单位优先提供服务。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学校应免费向社会宣传实践基地共建单位。学生去实践基地之前，应专题介绍实践基地建设单位的基本情况与相关注意事项。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实践基地共建单位能够为学校提供教育支持，提供实践场地和实践指导，为学校提供科研合作项目或共同申报科研课题，使实践教育基地成为产学研教育基地。 </w:t>
      </w:r>
    </w:p>
    <w:p w:rsidR="006E72F2" w:rsidRPr="000B6149" w:rsidRDefault="00E627E4">
      <w:pPr>
        <w:numPr>
          <w:ilvl w:val="0"/>
          <w:numId w:val="3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在教学期间，实践基地共建单位应对相关人员进行纪律、安全教育，以保证学生、指导教师及生产人员的安全。 </w:t>
      </w:r>
    </w:p>
    <w:p w:rsidR="006E72F2" w:rsidRPr="000B6149" w:rsidRDefault="00E627E4">
      <w:pPr>
        <w:numPr>
          <w:ilvl w:val="0"/>
          <w:numId w:val="3"/>
        </w:numPr>
        <w:spacing w:after="138" w:line="259" w:lineRule="auto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双方定期进行学术交流活动。 </w:t>
      </w:r>
    </w:p>
    <w:p w:rsidR="006E72F2" w:rsidRPr="000B6149" w:rsidRDefault="00E627E4">
      <w:pPr>
        <w:spacing w:after="138" w:line="259" w:lineRule="auto"/>
        <w:ind w:left="749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三、申报与评审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校外实践教育基地建设周期一般为两年。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项目负责人在认真考察的基础上，选择确定实践教育基地，并与基地依托单位协商，达成共建的一致意见后，填写《温州理工学院校外实践教育基地建设申报表》，经二级学院审核后上报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>根据二级学院提交的申报材料，组织学校教学与学术委员会评审，主要对设立基地的必要</w:t>
      </w:r>
      <w:bookmarkStart w:id="0" w:name="_GoBack"/>
      <w:bookmarkEnd w:id="0"/>
      <w:r w:rsidR="00E627E4" w:rsidRPr="000B6149">
        <w:rPr>
          <w:rFonts w:ascii="仿宋" w:eastAsia="仿宋" w:hAnsi="仿宋"/>
          <w:color w:val="000000" w:themeColor="text1"/>
        </w:rPr>
        <w:t>性、可行性及是否符合建立校外实践教育基地的基本条件提出意见。评审通过后，报学校分管</w:t>
      </w:r>
      <w:r w:rsidR="00E627E4" w:rsidRPr="000B6149">
        <w:rPr>
          <w:rFonts w:ascii="仿宋" w:eastAsia="仿宋" w:hAnsi="仿宋" w:hint="eastAsia"/>
          <w:color w:val="000000" w:themeColor="text1"/>
        </w:rPr>
        <w:t>校长</w:t>
      </w:r>
      <w:r w:rsidR="00E627E4" w:rsidRPr="000B6149">
        <w:rPr>
          <w:rFonts w:ascii="仿宋" w:eastAsia="仿宋" w:hAnsi="仿宋"/>
          <w:color w:val="000000" w:themeColor="text1"/>
        </w:rPr>
        <w:t xml:space="preserve">批准后发文公布。 </w:t>
      </w:r>
    </w:p>
    <w:p w:rsidR="006E72F2" w:rsidRPr="000B6149" w:rsidRDefault="00E627E4">
      <w:pPr>
        <w:spacing w:after="141" w:line="259" w:lineRule="auto"/>
        <w:ind w:left="691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四、管理与结题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实践教育基地建设采用项目管理方式，按年度提交年度进展报告，到期结题验收。 </w:t>
      </w:r>
    </w:p>
    <w:p w:rsidR="006E72F2" w:rsidRPr="000B6149" w:rsidRDefault="00F03EA7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教务处</w:t>
      </w:r>
      <w:r w:rsidR="00E627E4" w:rsidRPr="000B6149">
        <w:rPr>
          <w:rFonts w:ascii="仿宋" w:eastAsia="仿宋" w:hAnsi="仿宋"/>
          <w:color w:val="000000" w:themeColor="text1"/>
        </w:rPr>
        <w:t xml:space="preserve">负责实践教育基地宏观管理工作，制订建设和管理的规章制度，协调有关事宜，组织专家到实践教育基地检查评估。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二级学院依据专业建设规划、人才培养方案、实践教学大纲等要求，负责具体实施实践教育基地的建设与管理工作。 </w:t>
      </w:r>
    </w:p>
    <w:p w:rsidR="006E72F2" w:rsidRPr="000B6149" w:rsidRDefault="00E627E4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>项目负责人应严格按申报书承诺落实建设任务，按期完成。如有特殊情况不能按期完成者，应提前向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提交延期申请，对建设成效不大，不能保证实践教学质量的基地将取消立项，并将限制其负责人以后建设项目的申报。 </w:t>
      </w:r>
    </w:p>
    <w:p w:rsidR="000B59B1" w:rsidRDefault="00E627E4" w:rsidP="000B59B1">
      <w:pPr>
        <w:numPr>
          <w:ilvl w:val="0"/>
          <w:numId w:val="4"/>
        </w:numPr>
        <w:rPr>
          <w:rFonts w:ascii="仿宋" w:eastAsia="仿宋" w:hAnsi="仿宋" w:hint="eastAsia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及时与校外实践教育基地单位签署明确双方有关合作内容、权益和职责的合作协议书。合作年限根据双方需要协商确定，一般不少于3年，协议到期时，根据双方合作意向与成效，可办理协议续签手续。协议书应包括以下内容：（1）双方合作目的；（2）基地建设目标与受益范围；（3）双方权利和义务；（4）校内外教师的岗位职责；（5）实习内容、时间、接纳学生数；（6）其它。 </w:t>
      </w:r>
    </w:p>
    <w:p w:rsidR="006E72F2" w:rsidRPr="000B59B1" w:rsidRDefault="00E627E4" w:rsidP="000B59B1">
      <w:pPr>
        <w:numPr>
          <w:ilvl w:val="0"/>
          <w:numId w:val="4"/>
        </w:numPr>
        <w:rPr>
          <w:rFonts w:ascii="仿宋" w:eastAsia="仿宋" w:hAnsi="仿宋"/>
          <w:color w:val="000000" w:themeColor="text1"/>
        </w:rPr>
      </w:pPr>
      <w:r w:rsidRPr="000B59B1">
        <w:rPr>
          <w:rFonts w:ascii="仿宋" w:eastAsia="仿宋" w:hAnsi="仿宋"/>
          <w:color w:val="000000" w:themeColor="text1"/>
        </w:rPr>
        <w:t xml:space="preserve">二级学院与校外实践教育基地单位签订合作协议后，校外实践教育基地单位挂“温州理工学院实践教育基地”标牌。 </w:t>
      </w:r>
    </w:p>
    <w:p w:rsidR="006E72F2" w:rsidRPr="000B6149" w:rsidRDefault="00E627E4">
      <w:pPr>
        <w:numPr>
          <w:ilvl w:val="0"/>
          <w:numId w:val="5"/>
        </w:numPr>
        <w:spacing w:after="141" w:line="259" w:lineRule="auto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资助与奖励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学校设立基地建设专项经费，根据类别和学生规模的不同每个实践教育基地予以3000-5000元的建设经费资助，按年度下拨，分别按经费额度的60%、40%分两期下拨。第一期经费项目立项后下达，第二期经费视项目年度进展情况下达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校外实践教育基地建设经费必须用于基地建设，不得挪为他用。二级学院必须对经费使用情况严格把关，确保用于基地建设，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对经费计划及下拨负管理责任，定期对经费使用情况进行检查。 </w:t>
      </w:r>
    </w:p>
    <w:p w:rsidR="006E72F2" w:rsidRPr="000B6149" w:rsidRDefault="00E627E4">
      <w:pPr>
        <w:numPr>
          <w:ilvl w:val="0"/>
          <w:numId w:val="6"/>
        </w:numPr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lastRenderedPageBreak/>
        <w:t xml:space="preserve">对于建设成效显著，学生参与量大，实践教学活动开展效果好、学生评价高的实践教育基地及二级学院，学校将予以奖励与表彰。 </w:t>
      </w:r>
    </w:p>
    <w:p w:rsidR="006E72F2" w:rsidRPr="000B6149" w:rsidRDefault="00E627E4">
      <w:pPr>
        <w:numPr>
          <w:ilvl w:val="0"/>
          <w:numId w:val="5"/>
        </w:numPr>
        <w:spacing w:after="34"/>
        <w:ind w:right="73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>本办法自公布之日起施行，由</w:t>
      </w:r>
      <w:r w:rsidR="00F03EA7" w:rsidRPr="000B6149">
        <w:rPr>
          <w:rFonts w:ascii="仿宋" w:eastAsia="仿宋" w:hAnsi="仿宋"/>
          <w:color w:val="000000" w:themeColor="text1"/>
        </w:rPr>
        <w:t>教务处</w:t>
      </w:r>
      <w:r w:rsidRPr="000B6149">
        <w:rPr>
          <w:rFonts w:ascii="仿宋" w:eastAsia="仿宋" w:hAnsi="仿宋"/>
          <w:color w:val="000000" w:themeColor="text1"/>
        </w:rPr>
        <w:t xml:space="preserve">负责解释。      </w:t>
      </w:r>
    </w:p>
    <w:p w:rsidR="006E72F2" w:rsidRPr="000B6149" w:rsidRDefault="00E627E4">
      <w:pPr>
        <w:spacing w:after="69" w:line="259" w:lineRule="auto"/>
        <w:ind w:left="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附件：温州理工学院校外实践教育基地评估指标体系</w:t>
      </w:r>
      <w:r w:rsidRPr="000B6149">
        <w:rPr>
          <w:rFonts w:ascii="仿宋" w:eastAsia="仿宋" w:hAnsi="仿宋"/>
          <w:color w:val="000000" w:themeColor="text1"/>
          <w:sz w:val="36"/>
        </w:rPr>
        <w:t xml:space="preserve"> </w:t>
      </w:r>
    </w:p>
    <w:p w:rsidR="006E72F2" w:rsidRPr="000B6149" w:rsidRDefault="00E627E4">
      <w:pPr>
        <w:spacing w:after="0" w:line="384" w:lineRule="auto"/>
        <w:ind w:left="737" w:right="8340" w:firstLine="0"/>
        <w:rPr>
          <w:rFonts w:ascii="仿宋" w:eastAsia="仿宋" w:hAnsi="仿宋"/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</w:rPr>
        <w:t xml:space="preserve">    </w:t>
      </w: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6E72F2">
      <w:pPr>
        <w:spacing w:after="0" w:line="384" w:lineRule="auto"/>
        <w:ind w:left="737" w:right="8340" w:firstLine="0"/>
        <w:rPr>
          <w:color w:val="000000" w:themeColor="text1"/>
        </w:rPr>
      </w:pPr>
    </w:p>
    <w:p w:rsidR="006E72F2" w:rsidRPr="000B6149" w:rsidRDefault="00E627E4">
      <w:pPr>
        <w:spacing w:after="194" w:line="259" w:lineRule="auto"/>
        <w:ind w:left="48" w:firstLine="0"/>
        <w:rPr>
          <w:color w:val="000000" w:themeColor="text1"/>
        </w:rPr>
      </w:pPr>
      <w:r w:rsidRPr="000B6149">
        <w:rPr>
          <w:color w:val="000000" w:themeColor="text1"/>
          <w:sz w:val="28"/>
        </w:rPr>
        <w:lastRenderedPageBreak/>
        <w:t xml:space="preserve">附件： </w:t>
      </w:r>
    </w:p>
    <w:p w:rsidR="006E72F2" w:rsidRPr="000B6149" w:rsidRDefault="00E627E4">
      <w:pPr>
        <w:spacing w:after="0" w:line="259" w:lineRule="auto"/>
        <w:ind w:left="549" w:hanging="10"/>
        <w:jc w:val="center"/>
        <w:rPr>
          <w:color w:val="000000" w:themeColor="text1"/>
        </w:rPr>
      </w:pPr>
      <w:r w:rsidRPr="000B6149">
        <w:rPr>
          <w:color w:val="000000" w:themeColor="text1"/>
          <w:sz w:val="36"/>
        </w:rPr>
        <w:t>温州理工学院校外实践教育基地评估指标体系</w:t>
      </w:r>
    </w:p>
    <w:tbl>
      <w:tblPr>
        <w:tblStyle w:val="TableGrid"/>
        <w:tblW w:w="10370" w:type="dxa"/>
        <w:jc w:val="center"/>
        <w:tblInd w:w="0" w:type="dxa"/>
        <w:tblLayout w:type="fixed"/>
        <w:tblCellMar>
          <w:left w:w="108" w:type="dxa"/>
          <w:bottom w:w="67" w:type="dxa"/>
          <w:right w:w="17" w:type="dxa"/>
        </w:tblCellMar>
        <w:tblLook w:val="04A0"/>
      </w:tblPr>
      <w:tblGrid>
        <w:gridCol w:w="758"/>
        <w:gridCol w:w="797"/>
        <w:gridCol w:w="992"/>
        <w:gridCol w:w="709"/>
        <w:gridCol w:w="3551"/>
        <w:gridCol w:w="3563"/>
      </w:tblGrid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一级指标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2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二级指标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98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主要观测点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35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分值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评价等级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4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A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1.0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Ｃ（等级系数为 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0.5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466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教学管理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20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管理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队伍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管理队伍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基地建设有健全的领导班子和管理人员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基地建设有领导班子和管理人员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基地建设规划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有基地建设规划，建设目标明确，建设标准高，并付诸实施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有基地建设规划，但目标欠明确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规范性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规章制度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有健全的管理规章制度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有相关的管理规章制度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资料保存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相关资料保存完整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仅保存部分相关资料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教学条件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30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    模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规模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8 名(含 8 名) 学生以上； 其他认识实习或观摩活动，一次能安排 50 名（含 50 名）学生以上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1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集中时间 1 周及以上的，学生有实际动手机会，一次能安排 5 名(含 5 名) 学生以上； 其他认识实习或观摩活动，一次能安排 30 名（含 30 名）学生以上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指导教师配备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指导教师数量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1：5，且校外指导教师数量大于校内指导教师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校内外指导教师与实践学生比不小于 1：10，且校外指导教师数量大于校内指导教师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指导教师力量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80%（含80%）以上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中级以上职称的指导教师达到 50%（含 50%）以上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设施与环境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有食宿地点，卫生状况良好，适合学生的消费水平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食宿地点基本满足学生需要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安全状况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重视安全工作，有相应的安全措施与安全管理规定，从未发生任何安全事故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有相应的安全措施与管理规定，未发生较大的安全事故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教学文件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15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实习计划制定与执行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有与实践基地实际情况相配套的详细的实践计划，操作性强，且执行情况良好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111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有与实践基地实际情况相配套的实践计划；基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本能保证实践质量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大纲与指导书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有规范明确的实践教学大纲和指导书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有实践教学大纲或指导书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音像视频文件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有详细指导学生实践的视频音像文件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有指导学生实践的视频音像文件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355" w:lineRule="auto"/>
              <w:ind w:left="38" w:right="86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教学效果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E72F2" w:rsidRPr="000B6149" w:rsidRDefault="00E627E4">
            <w:pPr>
              <w:spacing w:after="0" w:line="259" w:lineRule="auto"/>
              <w:ind w:left="0" w:firstLine="0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（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>35</w:t>
            </w: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）</w:t>
            </w:r>
            <w:r w:rsidRPr="000B6149">
              <w:rPr>
                <w:rFonts w:ascii="仿宋" w:eastAsia="仿宋" w:hAnsi="仿宋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实践效果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实践教学效果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有开展因材施教、开发潜能的项目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有一些实践项目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90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学生能较好地完成企业指定的项目，且解决企业的生产问题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学生能较好地完成企业指定的项目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学生撰写出高质量的实践报告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学生撰写出一定质量的实践报告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90%（含 90%）以上学生对基地满意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722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60%（含 60%）以上学生对基地满意 </w:t>
            </w:r>
          </w:p>
        </w:tc>
      </w:tr>
      <w:tr w:rsidR="006E72F2" w:rsidRPr="000B6149">
        <w:trPr>
          <w:trHeight w:val="23"/>
          <w:jc w:val="center"/>
        </w:trPr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6E72F2">
            <w:pPr>
              <w:spacing w:after="16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right="87" w:firstLine="0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0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90%（含 90%）以上学生的表现满意。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F2" w:rsidRPr="000B6149" w:rsidRDefault="00E627E4">
            <w:pPr>
              <w:spacing w:after="0" w:line="259" w:lineRule="auto"/>
              <w:ind w:left="0" w:firstLine="168"/>
              <w:jc w:val="both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0B6149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 xml:space="preserve">实践基地对 60%（含 60%）以上的学生表现满意 </w:t>
            </w:r>
          </w:p>
        </w:tc>
      </w:tr>
    </w:tbl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说明：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1．评估指标划分为A、B、C、D四档，表中只给出A、C的标准，低于A高于C为B，低于C为D。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2．每项得分=分值*等级系数（等级系数：A=1.0；B=0.75；C=0.5；D=0.25）。 </w:t>
      </w:r>
    </w:p>
    <w:p w:rsidR="006E72F2" w:rsidRPr="000B6149" w:rsidRDefault="00E627E4">
      <w:pPr>
        <w:spacing w:after="0" w:line="259" w:lineRule="auto"/>
        <w:ind w:left="0" w:right="1" w:firstLine="0"/>
        <w:rPr>
          <w:rFonts w:ascii="仿宋" w:eastAsia="仿宋" w:hAnsi="仿宋"/>
          <w:color w:val="000000" w:themeColor="text1"/>
          <w:sz w:val="21"/>
        </w:rPr>
      </w:pPr>
      <w:r w:rsidRPr="000B6149">
        <w:rPr>
          <w:rFonts w:ascii="仿宋" w:eastAsia="仿宋" w:hAnsi="仿宋"/>
          <w:color w:val="000000" w:themeColor="text1"/>
          <w:sz w:val="21"/>
        </w:rPr>
        <w:t xml:space="preserve">3．评估等级：85-100分为优秀；75-84分为良好；60-74分为合格；低于60分为不合格。 </w:t>
      </w:r>
    </w:p>
    <w:p w:rsidR="006E72F2" w:rsidRPr="000B6149" w:rsidRDefault="00E627E4" w:rsidP="00425338">
      <w:pPr>
        <w:spacing w:after="0" w:line="259" w:lineRule="auto"/>
        <w:ind w:left="0" w:right="1" w:firstLine="0"/>
        <w:rPr>
          <w:color w:val="000000" w:themeColor="text1"/>
        </w:rPr>
      </w:pPr>
      <w:r w:rsidRPr="000B6149">
        <w:rPr>
          <w:rFonts w:ascii="仿宋" w:eastAsia="仿宋" w:hAnsi="仿宋"/>
          <w:color w:val="000000" w:themeColor="text1"/>
          <w:sz w:val="21"/>
        </w:rPr>
        <w:t>4．评估总分等于每项得分之和。</w:t>
      </w:r>
      <w:r w:rsidRPr="000B6149">
        <w:rPr>
          <w:color w:val="000000" w:themeColor="text1"/>
          <w:sz w:val="36"/>
        </w:rPr>
        <w:t xml:space="preserve"> </w:t>
      </w:r>
    </w:p>
    <w:sectPr w:rsidR="006E72F2" w:rsidRPr="000B6149" w:rsidSect="00740231">
      <w:footerReference w:type="even" r:id="rId8"/>
      <w:footerReference w:type="default" r:id="rId9"/>
      <w:footerReference w:type="first" r:id="rId10"/>
      <w:pgSz w:w="11906" w:h="16838"/>
      <w:pgMar w:top="1416" w:right="1277" w:bottom="1514" w:left="1392" w:header="720" w:footer="104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A670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77" w:rsidRDefault="00EE7977">
      <w:pPr>
        <w:spacing w:line="240" w:lineRule="auto"/>
      </w:pPr>
      <w:r>
        <w:separator/>
      </w:r>
    </w:p>
  </w:endnote>
  <w:endnote w:type="continuationSeparator" w:id="0">
    <w:p w:rsidR="00EE7977" w:rsidRDefault="00EE7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48" w:firstLine="0"/>
    </w:pPr>
    <w:r>
      <w:t xml:space="preserve">- </w:t>
    </w:r>
    <w:r w:rsidR="00DE5F8C">
      <w:fldChar w:fldCharType="begin"/>
    </w:r>
    <w:r>
      <w:instrText xml:space="preserve"> PAGE   \* MERGEFORMAT </w:instrText>
    </w:r>
    <w:r w:rsidR="00DE5F8C">
      <w:fldChar w:fldCharType="separate"/>
    </w:r>
    <w:r w:rsidR="000B59B1">
      <w:rPr>
        <w:noProof/>
      </w:rPr>
      <w:t>4</w:t>
    </w:r>
    <w:r w:rsidR="00DE5F8C">
      <w:fldChar w:fldCharType="end"/>
    </w:r>
    <w: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DE5F8C">
      <w:fldChar w:fldCharType="begin"/>
    </w:r>
    <w:r>
      <w:instrText xml:space="preserve"> PAGE   \* MERGEFORMAT </w:instrText>
    </w:r>
    <w:r w:rsidR="00DE5F8C">
      <w:fldChar w:fldCharType="separate"/>
    </w:r>
    <w:r w:rsidR="000B59B1">
      <w:rPr>
        <w:noProof/>
      </w:rPr>
      <w:t>3</w:t>
    </w:r>
    <w:r w:rsidR="00DE5F8C">
      <w:fldChar w:fldCharType="end"/>
    </w:r>
    <w:r>
      <w:t xml:space="preserve"> -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F2" w:rsidRDefault="00E627E4">
    <w:pPr>
      <w:spacing w:after="0" w:line="259" w:lineRule="auto"/>
      <w:ind w:left="0" w:right="159" w:firstLine="0"/>
      <w:jc w:val="right"/>
    </w:pPr>
    <w:r>
      <w:t xml:space="preserve">- </w:t>
    </w:r>
    <w:r w:rsidR="00DE5F8C">
      <w:fldChar w:fldCharType="begin"/>
    </w:r>
    <w:r>
      <w:instrText xml:space="preserve"> PAGE   \* MERGEFORMAT </w:instrText>
    </w:r>
    <w:r w:rsidR="00DE5F8C">
      <w:fldChar w:fldCharType="separate"/>
    </w:r>
    <w:r>
      <w:t>1</w:t>
    </w:r>
    <w:r w:rsidR="00DE5F8C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77" w:rsidRDefault="00EE7977">
      <w:pPr>
        <w:spacing w:after="0"/>
      </w:pPr>
      <w:r>
        <w:separator/>
      </w:r>
    </w:p>
  </w:footnote>
  <w:footnote w:type="continuationSeparator" w:id="0">
    <w:p w:rsidR="00EE7977" w:rsidRDefault="00EE79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FD7"/>
    <w:multiLevelType w:val="multilevel"/>
    <w:tmpl w:val="14EC4FD7"/>
    <w:lvl w:ilvl="0">
      <w:start w:val="6"/>
      <w:numFmt w:val="decimal"/>
      <w:lvlText w:val="%1、"/>
      <w:lvlJc w:val="left"/>
      <w:pPr>
        <w:ind w:left="11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1">
    <w:nsid w:val="1AE74AAB"/>
    <w:multiLevelType w:val="multilevel"/>
    <w:tmpl w:val="1AE74AAB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2">
    <w:nsid w:val="1ED16DCA"/>
    <w:multiLevelType w:val="multilevel"/>
    <w:tmpl w:val="1ED16DCA"/>
    <w:lvl w:ilvl="0">
      <w:start w:val="5"/>
      <w:numFmt w:val="ideographDigital"/>
      <w:lvlText w:val="%1、"/>
      <w:lvlJc w:val="left"/>
      <w:pPr>
        <w:ind w:left="38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3">
    <w:nsid w:val="2DA83D52"/>
    <w:multiLevelType w:val="multilevel"/>
    <w:tmpl w:val="2DA83D52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4">
    <w:nsid w:val="5E3849D9"/>
    <w:multiLevelType w:val="multilevel"/>
    <w:tmpl w:val="5E3849D9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abstractNum w:abstractNumId="5">
    <w:nsid w:val="771949B1"/>
    <w:multiLevelType w:val="multilevel"/>
    <w:tmpl w:val="771949B1"/>
    <w:lvl w:ilvl="0">
      <w:start w:val="1"/>
      <w:numFmt w:val="decimal"/>
      <w:lvlText w:val="%1、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7F7F"/>
    <w:rsid w:val="000475D9"/>
    <w:rsid w:val="00067ED8"/>
    <w:rsid w:val="000B59B1"/>
    <w:rsid w:val="000B6149"/>
    <w:rsid w:val="00137F7F"/>
    <w:rsid w:val="00206796"/>
    <w:rsid w:val="002D36A5"/>
    <w:rsid w:val="00425338"/>
    <w:rsid w:val="005B54A5"/>
    <w:rsid w:val="006056D4"/>
    <w:rsid w:val="006D6B78"/>
    <w:rsid w:val="006E72F2"/>
    <w:rsid w:val="00740231"/>
    <w:rsid w:val="008270AF"/>
    <w:rsid w:val="0086771B"/>
    <w:rsid w:val="00964364"/>
    <w:rsid w:val="00D021EA"/>
    <w:rsid w:val="00D640DD"/>
    <w:rsid w:val="00DE5F8C"/>
    <w:rsid w:val="00E627E4"/>
    <w:rsid w:val="00E8035B"/>
    <w:rsid w:val="00EA05D8"/>
    <w:rsid w:val="00EB468A"/>
    <w:rsid w:val="00EE7977"/>
    <w:rsid w:val="00F03EA7"/>
    <w:rsid w:val="00F60C87"/>
    <w:rsid w:val="21F0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1"/>
    <w:pPr>
      <w:spacing w:after="1" w:line="345" w:lineRule="auto"/>
      <w:ind w:left="298" w:firstLine="631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0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0231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627E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627E4"/>
  </w:style>
  <w:style w:type="character" w:customStyle="1" w:styleId="Char">
    <w:name w:val="批注文字 Char"/>
    <w:basedOn w:val="a0"/>
    <w:link w:val="a5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32"/>
      <w:szCs w:val="22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627E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627E4"/>
    <w:rPr>
      <w:rFonts w:ascii="微软雅黑" w:eastAsia="微软雅黑" w:hAnsi="微软雅黑" w:cs="微软雅黑"/>
      <w:b/>
      <w:bCs/>
      <w:color w:val="000000"/>
      <w:kern w:val="2"/>
      <w:sz w:val="3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E627E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27E4"/>
    <w:rPr>
      <w:rFonts w:ascii="微软雅黑" w:eastAsia="微软雅黑" w:hAnsi="微软雅黑" w:cs="微软雅黑"/>
      <w:color w:val="000000"/>
      <w:kern w:val="2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F03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F03EA7"/>
    <w:rPr>
      <w:rFonts w:ascii="微软雅黑" w:eastAsia="微软雅黑" w:hAnsi="微软雅黑" w:cs="微软雅黑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522</Words>
  <Characters>2982</Characters>
  <Application>Microsoft Office Word</Application>
  <DocSecurity>0</DocSecurity>
  <Lines>24</Lines>
  <Paragraphs>6</Paragraphs>
  <ScaleCrop>false</ScaleCrop>
  <Company>DoubleOX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温州大学瓯江学院特色专业建设工作的实施办法</dc:title>
  <dc:creator>温州联强网络技术有限公司</dc:creator>
  <cp:lastModifiedBy>admin</cp:lastModifiedBy>
  <cp:revision>10</cp:revision>
  <dcterms:created xsi:type="dcterms:W3CDTF">2022-02-14T11:01:00Z</dcterms:created>
  <dcterms:modified xsi:type="dcterms:W3CDTF">2022-05-18T00:57:00Z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745B37248C2F4FB18DB6FAA83E9930A2</vt:lpwstr>
  </property>
</Properties>
</file>