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方正小标宋_GBK" w:eastAsia="宋体"/>
          <w:bCs/>
          <w:sz w:val="44"/>
          <w:szCs w:val="32"/>
          <w:lang w:eastAsia="zh-CN"/>
        </w:rPr>
      </w:pPr>
      <w:bookmarkStart w:id="0" w:name="_GoBack"/>
      <w:bookmarkEnd w:id="0"/>
      <w:r>
        <w:rPr>
          <w:rFonts w:ascii="方正小标宋_GBK" w:eastAsia="PMingLiU"/>
          <w:bCs/>
          <w:sz w:val="44"/>
          <w:szCs w:val="32"/>
        </w:rPr>
        <w:drawing>
          <wp:anchor distT="0" distB="0" distL="114300" distR="114300" simplePos="0" relativeHeight="251659264" behindDoc="1" locked="0" layoutInCell="1" allowOverlap="1">
            <wp:simplePos x="0" y="0"/>
            <wp:positionH relativeFrom="column">
              <wp:posOffset>-1066800</wp:posOffset>
            </wp:positionH>
            <wp:positionV relativeFrom="paragraph">
              <wp:posOffset>-904875</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60310" cy="3727450"/>
                    </a:xfrm>
                    <a:prstGeom prst="rect">
                      <a:avLst/>
                    </a:prstGeom>
                    <a:noFill/>
                    <a:ln>
                      <a:noFill/>
                    </a:ln>
                  </pic:spPr>
                </pic:pic>
              </a:graphicData>
            </a:graphic>
          </wp:anchor>
        </w:drawing>
      </w:r>
    </w:p>
    <w:p>
      <w:pPr>
        <w:spacing w:line="620" w:lineRule="exact"/>
        <w:jc w:val="left"/>
        <w:rPr>
          <w:rFonts w:hint="eastAsia" w:ascii="方正小标宋_GBK" w:eastAsia="宋体"/>
          <w:bCs/>
          <w:sz w:val="44"/>
          <w:szCs w:val="32"/>
          <w:lang w:eastAsia="zh-CN"/>
        </w:rPr>
      </w:pPr>
    </w:p>
    <w:p>
      <w:pPr>
        <w:spacing w:line="620" w:lineRule="exact"/>
        <w:jc w:val="left"/>
        <w:rPr>
          <w:rFonts w:hint="eastAsia" w:ascii="方正小标宋_GBK" w:eastAsia="方正小标宋_GBK"/>
          <w:sz w:val="44"/>
          <w:szCs w:val="44"/>
          <w:lang w:eastAsia="zh-CN"/>
        </w:rPr>
      </w:pPr>
    </w:p>
    <w:p>
      <w:pPr>
        <w:spacing w:line="620" w:lineRule="exact"/>
        <w:jc w:val="left"/>
        <w:rPr>
          <w:rFonts w:hint="eastAsia" w:ascii="方正小标宋_GBK" w:eastAsia="方正小标宋_GBK"/>
          <w:sz w:val="44"/>
          <w:szCs w:val="44"/>
          <w:lang w:eastAsia="zh-CN"/>
        </w:rPr>
      </w:pPr>
    </w:p>
    <w:p>
      <w:pPr>
        <w:tabs>
          <w:tab w:val="left" w:pos="7665"/>
        </w:tabs>
        <w:spacing w:line="600" w:lineRule="exact"/>
        <w:jc w:val="center"/>
        <w:rPr>
          <w:rFonts w:hint="eastAsia" w:ascii="仿宋_GB2312" w:hAnsi="仿宋_GB2312" w:eastAsia="仿宋_GB2312" w:cs="仿宋_GB2312"/>
          <w:sz w:val="32"/>
          <w:szCs w:val="32"/>
          <w:lang w:eastAsia="zh-CN"/>
        </w:rPr>
      </w:pPr>
    </w:p>
    <w:p>
      <w:pPr>
        <w:tabs>
          <w:tab w:val="left" w:pos="7665"/>
        </w:tabs>
        <w:spacing w:line="600" w:lineRule="exact"/>
        <w:jc w:val="center"/>
        <w:rPr>
          <w:rFonts w:hint="eastAsia" w:ascii="仿宋_GB2312" w:hAnsi="仿宋_GB2312" w:eastAsia="仿宋_GB2312" w:cs="仿宋_GB2312"/>
          <w:sz w:val="32"/>
          <w:szCs w:val="32"/>
          <w:lang w:eastAsia="zh-CN"/>
        </w:rPr>
      </w:pPr>
    </w:p>
    <w:p>
      <w:pPr>
        <w:tabs>
          <w:tab w:val="left" w:pos="7665"/>
        </w:tabs>
        <w:spacing w:line="600" w:lineRule="exact"/>
        <w:jc w:val="center"/>
        <w:rPr>
          <w:rFonts w:ascii="仿宋_GB2312" w:hAnsi="宋体" w:eastAsia="仿宋_GB2312"/>
          <w:sz w:val="32"/>
        </w:rPr>
      </w:pPr>
      <w:r>
        <w:rPr>
          <w:rFonts w:hint="eastAsia" w:ascii="仿宋_GB2312" w:hAnsi="仿宋_GB2312" w:eastAsia="仿宋_GB2312" w:cs="仿宋_GB2312"/>
          <w:sz w:val="32"/>
          <w:szCs w:val="32"/>
        </w:rPr>
        <w:t xml:space="preserve"> </w:t>
      </w: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〔2021</w:t>
      </w:r>
      <w:r>
        <w:rPr>
          <w:rFonts w:ascii="仿宋_GB2312" w:hAnsi="宋体" w:eastAsia="仿宋_GB2312"/>
          <w:sz w:val="32"/>
        </w:rPr>
        <w:t>〕</w:t>
      </w:r>
      <w:r>
        <w:rPr>
          <w:rFonts w:hint="eastAsia" w:ascii="仿宋_GB2312" w:hAnsi="宋体" w:eastAsia="仿宋_GB2312"/>
          <w:sz w:val="32"/>
          <w:lang w:val="en-US" w:eastAsia="zh-CN"/>
        </w:rPr>
        <w:t>35</w:t>
      </w:r>
      <w:r>
        <w:rPr>
          <w:rFonts w:hint="eastAsia" w:ascii="仿宋_GB2312" w:hAnsi="宋体" w:eastAsia="仿宋_GB2312"/>
          <w:sz w:val="32"/>
        </w:rPr>
        <w:t>号</w:t>
      </w:r>
    </w:p>
    <w:p>
      <w:pPr>
        <w:spacing w:line="620" w:lineRule="exact"/>
        <w:jc w:val="center"/>
        <w:rPr>
          <w:rFonts w:hint="eastAsia" w:ascii="方正小标宋_GBK" w:eastAsia="方正小标宋_GBK"/>
          <w:sz w:val="44"/>
          <w:szCs w:val="44"/>
          <w:lang w:eastAsia="zh-CN"/>
        </w:rPr>
      </w:pPr>
    </w:p>
    <w:p>
      <w:pPr>
        <w:spacing w:line="620" w:lineRule="exact"/>
        <w:jc w:val="center"/>
        <w:rPr>
          <w:rFonts w:hint="eastAsia" w:ascii="方正小标宋_GBK" w:eastAsia="方正小标宋_GBK"/>
          <w:sz w:val="44"/>
          <w:szCs w:val="44"/>
          <w:lang w:eastAsia="zh-CN"/>
        </w:rPr>
      </w:pPr>
    </w:p>
    <w:p>
      <w:pPr>
        <w:spacing w:line="620" w:lineRule="exact"/>
        <w:jc w:val="center"/>
        <w:rPr>
          <w:rFonts w:ascii="方正小标宋_GBK" w:eastAsia="方正小标宋_GBK"/>
          <w:sz w:val="44"/>
          <w:szCs w:val="44"/>
        </w:rPr>
      </w:pPr>
      <w:r>
        <w:rPr>
          <w:rFonts w:hint="eastAsia" w:ascii="方正小标宋_GBK" w:eastAsia="方正小标宋_GBK"/>
          <w:sz w:val="44"/>
          <w:szCs w:val="44"/>
        </w:rPr>
        <w:t>关于印发</w:t>
      </w:r>
      <w:r>
        <w:rPr>
          <w:rFonts w:ascii="方正小标宋_GBK" w:eastAsia="方正小标宋_GBK"/>
          <w:sz w:val="44"/>
          <w:szCs w:val="44"/>
        </w:rPr>
        <w:t>《</w:t>
      </w:r>
      <w:r>
        <w:rPr>
          <w:rFonts w:hint="eastAsia" w:ascii="方正小标宋_GBK" w:eastAsia="方正小标宋_GBK"/>
          <w:sz w:val="44"/>
          <w:szCs w:val="44"/>
        </w:rPr>
        <w:t>温州理工学院专业分流管理办法</w:t>
      </w:r>
      <w:r>
        <w:rPr>
          <w:rFonts w:ascii="方正小标宋_GBK" w:eastAsia="方正小标宋_GBK"/>
          <w:sz w:val="44"/>
          <w:szCs w:val="44"/>
        </w:rPr>
        <w:t>》</w:t>
      </w:r>
      <w:r>
        <w:rPr>
          <w:rFonts w:hint="eastAsia" w:ascii="方正小标宋_GBK" w:eastAsia="方正小标宋_GBK"/>
          <w:sz w:val="44"/>
          <w:szCs w:val="44"/>
        </w:rPr>
        <w:t>的</w:t>
      </w:r>
      <w:r>
        <w:rPr>
          <w:rFonts w:ascii="方正小标宋_GBK" w:eastAsia="方正小标宋_GBK"/>
          <w:sz w:val="44"/>
          <w:szCs w:val="44"/>
        </w:rPr>
        <w:t>通知</w:t>
      </w:r>
    </w:p>
    <w:p>
      <w:pPr>
        <w:spacing w:line="600" w:lineRule="exact"/>
        <w:jc w:val="center"/>
        <w:rPr>
          <w:rFonts w:ascii="方正小标宋_GBK" w:eastAsia="方正小标宋_GBK"/>
          <w:sz w:val="44"/>
          <w:szCs w:val="44"/>
        </w:rPr>
      </w:pPr>
    </w:p>
    <w:p>
      <w:pPr>
        <w:widowControl/>
        <w:adjustRightInd w:val="0"/>
        <w:snapToGrid w:val="0"/>
        <w:spacing w:line="600" w:lineRule="exact"/>
        <w:jc w:val="left"/>
        <w:rPr>
          <w:rFonts w:ascii="仿宋_GB2312" w:hAnsi="仿宋" w:eastAsia="仿宋_GB2312" w:cs="宋体"/>
          <w:sz w:val="32"/>
          <w:szCs w:val="32"/>
        </w:rPr>
      </w:pPr>
      <w:r>
        <w:rPr>
          <w:rFonts w:hint="eastAsia" w:ascii="仿宋_GB2312" w:hAnsi="仿宋" w:eastAsia="仿宋_GB2312" w:cs="宋体"/>
          <w:sz w:val="32"/>
          <w:szCs w:val="32"/>
        </w:rPr>
        <w:t>各学院</w:t>
      </w:r>
      <w:r>
        <w:rPr>
          <w:rFonts w:ascii="仿宋_GB2312" w:hAnsi="仿宋" w:eastAsia="仿宋_GB2312" w:cs="宋体"/>
          <w:sz w:val="32"/>
          <w:szCs w:val="32"/>
        </w:rPr>
        <w:t>、各部门</w:t>
      </w:r>
      <w:r>
        <w:rPr>
          <w:rFonts w:hint="eastAsia" w:ascii="仿宋_GB2312" w:hAnsi="仿宋" w:eastAsia="仿宋_GB2312" w:cs="宋体"/>
          <w:sz w:val="32"/>
          <w:szCs w:val="32"/>
        </w:rPr>
        <w:t>:</w:t>
      </w:r>
    </w:p>
    <w:p>
      <w:pPr>
        <w:spacing w:line="600" w:lineRule="exact"/>
        <w:ind w:firstLine="598" w:firstLineChars="200"/>
        <w:rPr>
          <w:rFonts w:hint="eastAsia" w:ascii="仿宋_GB2312" w:hAnsi="仿宋" w:eastAsia="仿宋_GB2312" w:cs="宋体"/>
          <w:sz w:val="32"/>
          <w:szCs w:val="32"/>
          <w:lang w:eastAsia="zh-CN"/>
        </w:rPr>
      </w:pPr>
      <w:r>
        <w:rPr>
          <w:rFonts w:hint="eastAsia" w:ascii="仿宋_GB2312" w:hAnsi="仿宋" w:eastAsia="仿宋_GB2312" w:cs="宋体"/>
          <w:sz w:val="32"/>
          <w:szCs w:val="32"/>
        </w:rPr>
        <w:t>经2021年9月7日第9次校长办公会审议通过，现将《温州理工学院专业分流管理办法》印发给你们，请遵照执行。</w:t>
      </w:r>
    </w:p>
    <w:p>
      <w:pPr>
        <w:spacing w:line="600" w:lineRule="exact"/>
        <w:ind w:firstLine="598" w:firstLineChars="200"/>
        <w:rPr>
          <w:rFonts w:hint="eastAsia" w:ascii="仿宋_GB2312" w:hAnsi="仿宋" w:eastAsia="仿宋_GB2312" w:cs="宋体"/>
          <w:sz w:val="32"/>
          <w:szCs w:val="32"/>
          <w:lang w:eastAsia="zh-CN"/>
        </w:rPr>
      </w:pPr>
    </w:p>
    <w:p>
      <w:pPr>
        <w:spacing w:line="600" w:lineRule="exact"/>
        <w:ind w:firstLine="598" w:firstLineChars="200"/>
        <w:rPr>
          <w:rFonts w:hint="eastAsia" w:ascii="仿宋_GB2312" w:hAnsi="仿宋" w:eastAsia="仿宋_GB2312"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083" w:firstLineChars="1700"/>
        <w:textAlignment w:val="auto"/>
        <w:rPr>
          <w:rFonts w:ascii="仿宋_GB2312" w:hAnsi="楷体" w:eastAsia="仿宋_GB2312" w:cs="楷体"/>
          <w:sz w:val="32"/>
          <w:szCs w:val="32"/>
        </w:rPr>
      </w:pPr>
      <w:r>
        <w:rPr>
          <w:rFonts w:hint="eastAsia" w:ascii="仿宋_GB2312" w:hAnsi="仿宋" w:eastAsia="仿宋_GB2312" w:cs="仿宋_GB2312"/>
          <w:sz w:val="32"/>
          <w:lang w:bidi="ar"/>
        </w:rPr>
        <w:t>温州理工学院</w:t>
      </w:r>
    </w:p>
    <w:p>
      <w:pPr>
        <w:spacing w:line="600" w:lineRule="exact"/>
        <w:ind w:firstLine="598" w:firstLineChars="200"/>
        <w:jc w:val="center"/>
        <w:textAlignment w:val="baseline"/>
        <w:rPr>
          <w:rFonts w:ascii="仿宋_GB2312" w:hAnsi="仿宋_GB2312" w:eastAsia="仿宋_GB2312" w:cs="仿宋_GB2312"/>
          <w:sz w:val="32"/>
          <w:szCs w:val="32"/>
        </w:rPr>
      </w:pPr>
      <w:r>
        <w:rPr>
          <w:rFonts w:hint="eastAsia" w:ascii="仿宋_GB2312" w:eastAsia="仿宋_GB2312" w:cs="仿宋_GB2312"/>
          <w:sz w:val="32"/>
          <w:lang w:bidi="ar"/>
        </w:rPr>
        <w:t xml:space="preserve">                </w:t>
      </w:r>
      <w:r>
        <w:rPr>
          <w:rFonts w:hint="eastAsia" w:ascii="仿宋_GB2312" w:eastAsia="仿宋_GB2312" w:cs="仿宋_GB2312"/>
          <w:sz w:val="32"/>
          <w:lang w:val="en-US" w:eastAsia="zh-CN" w:bidi="ar"/>
        </w:rPr>
        <w:t xml:space="preserve">    </w:t>
      </w:r>
      <w:r>
        <w:rPr>
          <w:rFonts w:hint="eastAsia" w:ascii="仿宋_GB2312" w:eastAsia="仿宋_GB2312" w:cs="仿宋_GB2312"/>
          <w:sz w:val="32"/>
          <w:lang w:bidi="ar"/>
        </w:rPr>
        <w:t xml:space="preserve">  </w:t>
      </w:r>
      <w:r>
        <w:rPr>
          <w:rFonts w:hint="eastAsia" w:ascii="仿宋_GB2312" w:eastAsia="仿宋_GB2312"/>
          <w:sz w:val="32"/>
          <w:szCs w:val="32"/>
        </w:rPr>
        <w:t>2021年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pPr>
        <w:spacing w:line="580" w:lineRule="exact"/>
        <w:ind w:right="1120" w:firstLine="838" w:firstLineChars="200"/>
        <w:jc w:val="center"/>
        <w:rPr>
          <w:rFonts w:hint="eastAsia" w:ascii="方正小标宋_GBK" w:eastAsia="方正小标宋_GBK"/>
          <w:sz w:val="44"/>
          <w:szCs w:val="44"/>
        </w:rPr>
      </w:pPr>
    </w:p>
    <w:p>
      <w:pPr>
        <w:spacing w:line="580" w:lineRule="exact"/>
        <w:ind w:right="1120" w:firstLine="838" w:firstLineChars="200"/>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温州理工学院专业分流管理办法</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第一条</w:t>
      </w:r>
      <w:r>
        <w:rPr>
          <w:rFonts w:hint="eastAsia" w:ascii="仿宋_GB2312" w:eastAsia="仿宋_GB2312"/>
          <w:sz w:val="32"/>
          <w:szCs w:val="32"/>
        </w:rPr>
        <w:t xml:space="preserve">  专业分</w:t>
      </w:r>
      <w:r>
        <w:rPr>
          <w:rFonts w:hint="eastAsia" w:ascii="仿宋_GB2312" w:eastAsia="仿宋_GB2312"/>
          <w:color w:val="000000" w:themeColor="text1"/>
          <w:sz w:val="32"/>
          <w:szCs w:val="32"/>
          <w14:textFill>
            <w14:solidFill>
              <w14:schemeClr w14:val="tx1"/>
            </w14:solidFill>
          </w14:textFill>
        </w:rPr>
        <w:t>流是我校实行学科专业大类招生宽口径培养学生的重要环节，为确保专业分流工作的顺利进行，根据学校实际情况，特制定本办法。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第二章</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 xml:space="preserve"> 分流的基本原则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社会需求原则。让学生能根据社会和地方经济对人才的需求变化来选择自己的专业，提高学生的社会适应性。</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个性发展原则。在一定条件下允许学生根据个人的兴趣特长和需求，在招生类别的专业范围内选择专业，尊重学生的志愿。 </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自主性和指导性相结合原则。尊重学生个人意愿，给予学生充分的自主权。同时，为了避免学生因不了解专业情况而造成盲目选报，学校在选报前组织专业分流讲座，介绍各专业特点和就业前景；设立专业咨询点，为学生了解更多的专业情况，提供咨询服务和指导。</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专业布局合理原则。在尊重学生志愿的同时，要考虑专业的合理布局、教学资源的合理调配以及教学的组织与实施。</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公正、公平、公开原则。实行网上选报，给予学生均等的选择机会，选报各环节充分体现程序公平，选报结果在网上公示，最后审定发文。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第三章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分流的对象</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第七条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专业分流对象为我校按类招生需进行专业分流的一年级学生。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第四章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学生分流的专业</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第八条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可供学生分流的专业为学生入学当年我校经教育厅备案准许招生的同一学科类别的专业。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 xml:space="preserve">第五章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分流时间和依据</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专业分流在第一学年第二学期内完成，第三学期开学时学生到分流的相应专业进行专业培养。</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除特殊专业应结合录取当年的学校招生章程的有关规定参考学生高考单科成绩和</w:t>
      </w:r>
      <w:r>
        <w:rPr>
          <w:rFonts w:hint="eastAsia" w:ascii="仿宋_GB2312" w:hAnsi="宋体" w:eastAsia="仿宋_GB2312"/>
          <w:color w:val="000000" w:themeColor="text1"/>
          <w:sz w:val="32"/>
          <w:szCs w:val="32"/>
          <w14:textFill>
            <w14:solidFill>
              <w14:schemeClr w14:val="tx1"/>
            </w14:solidFill>
          </w14:textFill>
        </w:rPr>
        <w:t>身体条件限报（按浙江省</w:t>
      </w:r>
      <w:r>
        <w:rPr>
          <w:rFonts w:hint="eastAsia" w:ascii="仿宋_GB2312" w:eastAsia="仿宋_GB2312"/>
          <w:color w:val="000000" w:themeColor="text1"/>
          <w:sz w:val="32"/>
          <w:szCs w:val="32"/>
          <w14:textFill>
            <w14:solidFill>
              <w14:schemeClr w14:val="tx1"/>
            </w14:solidFill>
          </w14:textFill>
        </w:rPr>
        <w:t>高校招生</w:t>
      </w:r>
      <w:r>
        <w:rPr>
          <w:rFonts w:hint="eastAsia" w:ascii="仿宋_GB2312" w:hAnsi="宋体" w:eastAsia="仿宋_GB2312"/>
          <w:color w:val="000000" w:themeColor="text1"/>
          <w:sz w:val="32"/>
          <w:szCs w:val="32"/>
          <w14:textFill>
            <w14:solidFill>
              <w14:schemeClr w14:val="tx1"/>
            </w14:solidFill>
          </w14:textFill>
        </w:rPr>
        <w:t>体检标准执行）外</w:t>
      </w:r>
      <w:r>
        <w:rPr>
          <w:rFonts w:hint="eastAsia" w:ascii="仿宋_GB2312" w:eastAsia="仿宋_GB2312"/>
          <w:color w:val="000000" w:themeColor="text1"/>
          <w:sz w:val="32"/>
          <w:szCs w:val="32"/>
          <w14:textFill>
            <w14:solidFill>
              <w14:schemeClr w14:val="tx1"/>
            </w14:solidFill>
          </w14:textFill>
        </w:rPr>
        <w:t>，在教学资源许可的情况下，应尽量满足学生的专业志愿，确保学生对专业的选择权。招生时已确定专业的学生不再进行分流。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val="en-US"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 xml:space="preserve">章 </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分流程序</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第十一条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分流前，学校将组织专业分流讲座，对各专业进行介绍。</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学生在规定时间内登陆学校选课系统选报专业。允许学生在规定的专业范围内自主选择专业。</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第十三条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专业分流选报后，选报人数达30人及以上的专业予以开设。选报专业未能开设的同学，进行第二轮选报。</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第十四条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学校根据学生选报结果确定初步分流名单，下发专业选报核对表并公布各专业选报人数，核对无误后进行网上公示，公示时间为7天。</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第十五条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公示结束后，学校公布各专业学生名单，并发文。学校负责将学生的学籍变更情况上报省教育厅备案和在教务管理系统内对专业分流学生的学籍数据进行处理。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学生分流专业确定后，不得随意变更。如有特殊原因需变更专业，则按学校转专业的有关规定办理。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 xml:space="preserve">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专业分流后的教学管理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sz w:val="32"/>
          <w:szCs w:val="32"/>
        </w:rPr>
      </w:pPr>
      <w:r>
        <w:rPr>
          <w:rFonts w:hint="eastAsia" w:ascii="楷体_GB2312" w:hAnsi="楷体_GB2312" w:eastAsia="楷体_GB2312" w:cs="楷体_GB2312"/>
          <w:b/>
          <w:bCs/>
          <w:sz w:val="32"/>
          <w:szCs w:val="32"/>
        </w:rPr>
        <w:t xml:space="preserve">第十七条 </w:t>
      </w:r>
      <w:r>
        <w:rPr>
          <w:rFonts w:hint="eastAsia" w:ascii="楷体_GB2312" w:hAnsi="楷体_GB2312" w:eastAsia="楷体_GB2312" w:cs="楷体_GB2312"/>
          <w:b/>
          <w:bCs/>
          <w:sz w:val="32"/>
          <w:szCs w:val="32"/>
          <w:lang w:val="en-US" w:eastAsia="zh-CN"/>
        </w:rPr>
        <w:t xml:space="preserve"> </w:t>
      </w:r>
      <w:r>
        <w:rPr>
          <w:rFonts w:hint="eastAsia" w:ascii="仿宋_GB2312" w:eastAsia="仿宋_GB2312"/>
          <w:sz w:val="32"/>
          <w:szCs w:val="32"/>
        </w:rPr>
        <w:t>专业分流后，从第三学期起执行相应专业的教学计划。</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sz w:val="32"/>
          <w:szCs w:val="32"/>
        </w:rPr>
      </w:pPr>
      <w:r>
        <w:rPr>
          <w:rFonts w:hint="eastAsia" w:ascii="楷体_GB2312" w:hAnsi="楷体_GB2312" w:eastAsia="楷体_GB2312" w:cs="楷体_GB2312"/>
          <w:b/>
          <w:bCs/>
          <w:sz w:val="32"/>
          <w:szCs w:val="32"/>
        </w:rPr>
        <w:t>第十八条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已分流的学生学籍档案材料按分流后的学生班级进行管理。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 xml:space="preserve">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sz w:val="32"/>
          <w:szCs w:val="32"/>
        </w:rPr>
      </w:pPr>
      <w:r>
        <w:rPr>
          <w:rFonts w:hint="eastAsia" w:ascii="楷体_GB2312" w:hAnsi="楷体_GB2312" w:eastAsia="楷体_GB2312" w:cs="楷体_GB2312"/>
          <w:b/>
          <w:bCs/>
          <w:sz w:val="32"/>
          <w:szCs w:val="32"/>
        </w:rPr>
        <w:t>第十九条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本办法自发文之日起施行。</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jc w:val="left"/>
        <w:textAlignment w:val="auto"/>
        <w:rPr>
          <w:rFonts w:ascii="仿宋_GB2312" w:eastAsia="仿宋_GB2312"/>
          <w:sz w:val="32"/>
          <w:szCs w:val="32"/>
        </w:rPr>
      </w:pPr>
      <w:r>
        <w:rPr>
          <w:rFonts w:hint="eastAsia" w:ascii="楷体_GB2312" w:hAnsi="楷体_GB2312" w:eastAsia="楷体_GB2312" w:cs="楷体_GB2312"/>
          <w:b/>
          <w:bCs/>
          <w:sz w:val="32"/>
          <w:szCs w:val="32"/>
        </w:rPr>
        <w:t>第二十条</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本办法由教务处负责解释。</w:t>
      </w:r>
    </w:p>
    <w:p>
      <w:pPr>
        <w:spacing w:line="600" w:lineRule="exact"/>
        <w:ind w:left="-105"/>
        <w:rPr>
          <w:rFonts w:eastAsia="黑体"/>
          <w:sz w:val="32"/>
        </w:rPr>
      </w:pPr>
    </w:p>
    <w:p>
      <w:pPr>
        <w:spacing w:line="700" w:lineRule="exact"/>
        <w:ind w:left="-105"/>
        <w:rPr>
          <w:rFonts w:eastAsia="黑体"/>
          <w:sz w:val="32"/>
        </w:rPr>
      </w:pPr>
    </w:p>
    <w:p>
      <w:pPr>
        <w:ind w:left="-105"/>
        <w:rPr>
          <w:rFonts w:eastAsia="黑体"/>
          <w:sz w:val="32"/>
        </w:rPr>
      </w:pPr>
    </w:p>
    <w:p>
      <w:pPr>
        <w:ind w:left="-105"/>
        <w:rPr>
          <w:rFonts w:eastAsia="黑体"/>
          <w:sz w:val="32"/>
        </w:rPr>
      </w:pPr>
    </w:p>
    <w:tbl>
      <w:tblPr>
        <w:tblStyle w:val="5"/>
        <w:tblpPr w:leftFromText="180" w:rightFromText="180" w:vertAnchor="text" w:horzAnchor="page" w:tblpX="1512" w:tblpY="2226"/>
        <w:tblW w:w="8789"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8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789" w:type="dxa"/>
            <w:tcBorders>
              <w:tl2br w:val="nil"/>
              <w:tr2bl w:val="nil"/>
            </w:tcBorders>
            <w:shd w:val="clear" w:color="auto" w:fill="auto"/>
            <w:vAlign w:val="center"/>
          </w:tcPr>
          <w:p>
            <w:pPr>
              <w:spacing w:line="600" w:lineRule="exact"/>
              <w:ind w:firstLine="259"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2021</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ind w:left="-105"/>
        <w:rPr>
          <w:rFonts w:eastAsia="黑体"/>
          <w:sz w:val="32"/>
        </w:rPr>
      </w:pPr>
    </w:p>
    <w:sectPr>
      <w:headerReference r:id="rId3" w:type="default"/>
      <w:footerReference r:id="rId4" w:type="default"/>
      <w:footerReference r:id="rId5" w:type="even"/>
      <w:pgSz w:w="11907" w:h="16840"/>
      <w:pgMar w:top="1440" w:right="1800" w:bottom="1440" w:left="1800" w:header="851" w:footer="992" w:gutter="57"/>
      <w:pgNumType w:fmt="numberInDash" w:start="1"/>
      <w:cols w:space="425" w:num="1"/>
      <w:docGrid w:type="linesAndChars" w:linePitch="44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539841"/>
      <w:docPartObj>
        <w:docPartGallery w:val="autotext"/>
      </w:docPartObj>
    </w:sdtPr>
    <w:sdtContent>
      <w:p>
        <w:pPr>
          <w:pStyle w:val="3"/>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276213269"/>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dit="forms" w:enforcement="1" w:cryptProviderType="rsaFull" w:cryptAlgorithmClass="hash" w:cryptAlgorithmType="typeAny" w:cryptAlgorithmSid="4" w:cryptSpinCount="0" w:hash="CaySAUtpKqwUVsSt2KfDfmFmIAY=" w:salt="gC2zQvspOEWvvLU4gs+Tog=="/>
  <w:defaultTabStop w:val="420"/>
  <w:evenAndOddHeaders w:val="1"/>
  <w:drawingGridHorizontalSpacing w:val="189"/>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A7"/>
    <w:rsid w:val="00005859"/>
    <w:rsid w:val="001665CA"/>
    <w:rsid w:val="001E22C2"/>
    <w:rsid w:val="002139D2"/>
    <w:rsid w:val="002B5907"/>
    <w:rsid w:val="002C1311"/>
    <w:rsid w:val="002D635E"/>
    <w:rsid w:val="00302419"/>
    <w:rsid w:val="00334573"/>
    <w:rsid w:val="00345F0A"/>
    <w:rsid w:val="003A2FDB"/>
    <w:rsid w:val="003A4D3B"/>
    <w:rsid w:val="003D71BA"/>
    <w:rsid w:val="003F6273"/>
    <w:rsid w:val="0042498F"/>
    <w:rsid w:val="00430CC8"/>
    <w:rsid w:val="00437BB3"/>
    <w:rsid w:val="004B1BE3"/>
    <w:rsid w:val="004D2034"/>
    <w:rsid w:val="004F4E3B"/>
    <w:rsid w:val="00531A84"/>
    <w:rsid w:val="00553076"/>
    <w:rsid w:val="0057167B"/>
    <w:rsid w:val="005A3984"/>
    <w:rsid w:val="0060111A"/>
    <w:rsid w:val="0067121E"/>
    <w:rsid w:val="00691208"/>
    <w:rsid w:val="00697EE8"/>
    <w:rsid w:val="006E0A3B"/>
    <w:rsid w:val="006E5966"/>
    <w:rsid w:val="00734168"/>
    <w:rsid w:val="007929D6"/>
    <w:rsid w:val="007B7395"/>
    <w:rsid w:val="007D6EA6"/>
    <w:rsid w:val="00830B52"/>
    <w:rsid w:val="00830BD1"/>
    <w:rsid w:val="00876CFF"/>
    <w:rsid w:val="008C238B"/>
    <w:rsid w:val="00935391"/>
    <w:rsid w:val="00965BC7"/>
    <w:rsid w:val="00971CAA"/>
    <w:rsid w:val="009A52F6"/>
    <w:rsid w:val="009B4C7E"/>
    <w:rsid w:val="00A35AA7"/>
    <w:rsid w:val="00A41CC1"/>
    <w:rsid w:val="00A43384"/>
    <w:rsid w:val="00B4138D"/>
    <w:rsid w:val="00B42B47"/>
    <w:rsid w:val="00B51B05"/>
    <w:rsid w:val="00B52C9C"/>
    <w:rsid w:val="00B66943"/>
    <w:rsid w:val="00B732B9"/>
    <w:rsid w:val="00BA5180"/>
    <w:rsid w:val="00BB32F7"/>
    <w:rsid w:val="00BE18AE"/>
    <w:rsid w:val="00BE7333"/>
    <w:rsid w:val="00C05BBB"/>
    <w:rsid w:val="00C20F45"/>
    <w:rsid w:val="00C25964"/>
    <w:rsid w:val="00C453FC"/>
    <w:rsid w:val="00C46D0C"/>
    <w:rsid w:val="00C553B9"/>
    <w:rsid w:val="00C76088"/>
    <w:rsid w:val="00CB7EBF"/>
    <w:rsid w:val="00D103EC"/>
    <w:rsid w:val="00D556CB"/>
    <w:rsid w:val="00D57B4E"/>
    <w:rsid w:val="00D870B9"/>
    <w:rsid w:val="00DE2377"/>
    <w:rsid w:val="00E72EE4"/>
    <w:rsid w:val="00E77429"/>
    <w:rsid w:val="00EB224C"/>
    <w:rsid w:val="00ED6FB5"/>
    <w:rsid w:val="00F426B9"/>
    <w:rsid w:val="00FA6A4F"/>
    <w:rsid w:val="00FF275F"/>
    <w:rsid w:val="00FF7D20"/>
    <w:rsid w:val="04721401"/>
    <w:rsid w:val="0CEF01BC"/>
    <w:rsid w:val="10AA62E3"/>
    <w:rsid w:val="2CC77F07"/>
    <w:rsid w:val="31F51194"/>
    <w:rsid w:val="3F071DDA"/>
    <w:rsid w:val="48D8006F"/>
    <w:rsid w:val="564C5019"/>
    <w:rsid w:val="5B857007"/>
    <w:rsid w:val="708E6527"/>
    <w:rsid w:val="7226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qFormat/>
    <w:uiPriority w:val="0"/>
    <w:rPr>
      <w:b/>
    </w:rPr>
  </w:style>
  <w:style w:type="character" w:styleId="8">
    <w:name w:val="page number"/>
    <w:basedOn w:val="6"/>
    <w:qFormat/>
    <w:uiPriority w:val="0"/>
  </w:style>
  <w:style w:type="character" w:customStyle="1" w:styleId="9">
    <w:name w:val="页眉 字符"/>
    <w:basedOn w:val="6"/>
    <w:link w:val="4"/>
    <w:semiHidden/>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cjk"/>
    <w:next w:val="3"/>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character" w:customStyle="1" w:styleId="12">
    <w:name w:val="批注框文本 字符"/>
    <w:basedOn w:val="6"/>
    <w:link w:val="2"/>
    <w:semiHidden/>
    <w:qFormat/>
    <w:uiPriority w:val="99"/>
    <w:rPr>
      <w:rFonts w:ascii="Times New Roman" w:hAnsi="Times New Roman" w:eastAsia="宋体" w:cs="Times New Roman"/>
      <w:sz w:val="18"/>
      <w:szCs w:val="18"/>
    </w:rPr>
  </w:style>
  <w:style w:type="character" w:customStyle="1" w:styleId="13">
    <w:name w:val="Subtle Emphasis"/>
    <w:basedOn w:val="6"/>
    <w:qFormat/>
    <w:uiPriority w:val="19"/>
    <w:rPr>
      <w:i/>
      <w:iCs/>
      <w:color w:val="404040" w:themeColor="text1" w:themeTint="BF"/>
      <w14:textFill>
        <w14:solidFill>
          <w14:schemeClr w14:val="tx1">
            <w14:lumMod w14:val="75000"/>
            <w14:lumOff w14:val="25000"/>
          </w14:schemeClr>
        </w14:solidFill>
      </w14:textFill>
    </w:rPr>
  </w:style>
  <w:style w:type="paragraph" w:styleId="14">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D757F-4A77-4289-B49A-228AA33232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1246</Words>
  <Characters>1262</Characters>
  <Lines>30</Lines>
  <Paragraphs>8</Paragraphs>
  <TotalTime>5</TotalTime>
  <ScaleCrop>false</ScaleCrop>
  <LinksUpToDate>false</LinksUpToDate>
  <CharactersWithSpaces>1361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2021-06-22T07:29:00Z</dcterms:created>
  <dc:creator>dell</dc:creator>
  <cp:lastModifiedBy>若惜流年</cp:lastModifiedBy>
  <cp:lastPrinted>2021-09-14T03:26:00Z</cp:lastPrinted>
  <dcterms:modified xsi:type="dcterms:W3CDTF">2021-09-28T02:56:43Z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657628DDDB8A4F12BB88AC7BD70574A8</vt:lpwstr>
  </property>
</Properties>
</file>