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jc w:val="center"/>
        <w:textAlignment w:val="auto"/>
        <w:rPr>
          <w:rFonts w:hint="default" w:ascii="Times New Roman" w:hAnsi="Times New Roman" w:eastAsia="仿宋_GB2312" w:cs="Times New Roman"/>
          <w:color w:val="000000"/>
          <w:sz w:val="44"/>
          <w:szCs w:val="44"/>
          <w:lang w:eastAsia="zh-CN" w:bidi="ar"/>
        </w:rPr>
      </w:pPr>
      <w:bookmarkStart w:id="0" w:name="_GoBack"/>
      <w:bookmarkEnd w:id="0"/>
      <w:r>
        <w:rPr>
          <w:rFonts w:ascii="方正小标宋_GBK" w:hAnsi="仿宋" w:eastAsia="方正小标宋_GBK" w:cs="宋体"/>
          <w:kern w:val="0"/>
          <w:sz w:val="44"/>
          <w:szCs w:val="4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-1190625</wp:posOffset>
            </wp:positionH>
            <wp:positionV relativeFrom="paragraph">
              <wp:posOffset>-923925</wp:posOffset>
            </wp:positionV>
            <wp:extent cx="7560310" cy="3727450"/>
            <wp:effectExtent l="0" t="0" r="2540" b="6350"/>
            <wp:wrapNone/>
            <wp:docPr id="2" name="图片 2" descr="温州理工学院文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温州理工学院文件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372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jc w:val="center"/>
        <w:textAlignment w:val="auto"/>
        <w:rPr>
          <w:rFonts w:hint="default" w:ascii="Times New Roman" w:hAnsi="Times New Roman" w:eastAsia="仿宋_GB2312" w:cs="Times New Roman"/>
          <w:color w:val="000000"/>
          <w:sz w:val="44"/>
          <w:szCs w:val="44"/>
          <w:lang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jc w:val="center"/>
        <w:textAlignment w:val="auto"/>
        <w:rPr>
          <w:rFonts w:hint="default" w:ascii="Times New Roman" w:hAnsi="Times New Roman" w:eastAsia="仿宋_GB2312" w:cs="Times New Roman"/>
          <w:color w:val="000000"/>
          <w:sz w:val="44"/>
          <w:szCs w:val="44"/>
          <w:lang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jc w:val="center"/>
        <w:textAlignment w:val="auto"/>
        <w:rPr>
          <w:rFonts w:hint="default" w:ascii="Times New Roman" w:hAnsi="Times New Roman" w:eastAsia="仿宋_GB2312" w:cs="Times New Roman"/>
          <w:color w:val="000000"/>
          <w:sz w:val="44"/>
          <w:szCs w:val="44"/>
          <w:lang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温理工行政〔202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before="0" w:line="600" w:lineRule="exact"/>
        <w:jc w:val="center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before="0" w:line="60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kern w:val="0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kern w:val="0"/>
          <w:sz w:val="44"/>
          <w:szCs w:val="44"/>
          <w:lang w:val="en-US" w:eastAsia="zh-CN" w:bidi="ar-SA"/>
        </w:rPr>
        <w:t>关于印发《温州理工学院本科学生转专业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before="0" w:line="60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kern w:val="0"/>
          <w:sz w:val="44"/>
          <w:szCs w:val="44"/>
          <w:lang w:val="en-US" w:eastAsia="zh-CN" w:bidi="ar-SA"/>
        </w:rPr>
        <w:t>管理办法》的通知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before="0" w:after="0" w:line="600" w:lineRule="exact"/>
        <w:ind w:firstLine="420"/>
        <w:jc w:val="center"/>
        <w:textAlignment w:val="auto"/>
        <w:rPr>
          <w:rFonts w:hint="default" w:ascii="Times New Roman" w:hAnsi="Times New Roman" w:eastAsia="仿宋_GB2312" w:cs="Times New Roman"/>
          <w:kern w:val="0"/>
          <w:sz w:val="28"/>
          <w:szCs w:val="20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line="600" w:lineRule="exact"/>
        <w:ind w:right="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 w:bidi="ar-SA"/>
        </w:rPr>
        <w:t>各二级学院、各部门：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line="6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 w:bidi="ar-SA"/>
        </w:rPr>
        <w:t>经2023年7月4日第50次校长办公会审议通过，现将修订的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 w:bidi="ar-SA"/>
        </w:rPr>
        <w:t>《温州理工学院本科学生转专业管理办法》印发给你们，请遵照执行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line="6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line="6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ind w:right="0" w:firstLine="640" w:firstLineChars="20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28"/>
        </w:rPr>
      </w:pPr>
      <w:r>
        <w:rPr>
          <w:rFonts w:hint="default" w:ascii="Times New Roman" w:hAnsi="Times New Roman" w:eastAsia="仿宋_GB2312" w:cs="Times New Roman"/>
          <w:sz w:val="32"/>
          <w:szCs w:val="28"/>
        </w:rPr>
        <w:t xml:space="preserve">                     温州理工学院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ind w:right="0" w:firstLine="640" w:firstLineChars="20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28"/>
        </w:rPr>
      </w:pPr>
      <w:r>
        <w:rPr>
          <w:rFonts w:hint="default" w:ascii="Times New Roman" w:hAnsi="Times New Roman" w:eastAsia="仿宋_GB2312" w:cs="Times New Roman"/>
          <w:sz w:val="32"/>
          <w:szCs w:val="28"/>
        </w:rPr>
        <w:t xml:space="preserve">                      202</w:t>
      </w:r>
      <w:r>
        <w:rPr>
          <w:rFonts w:hint="default" w:ascii="Times New Roman" w:hAnsi="Times New Roman" w:eastAsia="仿宋_GB2312" w:cs="Times New Roman"/>
          <w:sz w:val="32"/>
          <w:szCs w:val="28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28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28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28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28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28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600" w:lineRule="exact"/>
        <w:jc w:val="center"/>
        <w:textAlignment w:val="auto"/>
        <w:outlineLvl w:val="1"/>
        <w:rPr>
          <w:rFonts w:hint="default" w:ascii="Times New Roman" w:hAnsi="Times New Roman" w:eastAsia="方正小标宋_GBK" w:cs="Times New Roman"/>
          <w:b w:val="0"/>
          <w:bCs w:val="0"/>
          <w:kern w:val="0"/>
          <w:sz w:val="44"/>
          <w:szCs w:val="44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36"/>
          <w:sz w:val="44"/>
          <w:szCs w:val="44"/>
        </w:rPr>
        <w:br w:type="page"/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温州理工学院本科学生转专业管理办法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600" w:lineRule="exact"/>
        <w:jc w:val="center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（2021年11月23日第14次校长办公会审议通过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2023年7月4日第50次校长办公会修订通过）</w:t>
      </w:r>
    </w:p>
    <w:p>
      <w:pPr>
        <w:pStyle w:val="2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firstLine="640" w:firstLineChars="200"/>
        <w:jc w:val="center"/>
        <w:textAlignment w:val="auto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  <w:t>第一章  总  则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color w:val="000000"/>
          <w:kern w:val="0"/>
          <w:sz w:val="32"/>
          <w:szCs w:val="32"/>
        </w:rPr>
        <w:t>第一条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 xml:space="preserve">  为充分体现以人为本的教育理念，尊重学生个人志向，发挥学生专长，激发学生学习积极性、主动性，进一步完善个性化人才培养模式，规范管理，根据教育部《普通高等学校学生管理规定》以及《温州理工学院本科学生学籍管理规定》，结合学校实际情况，特制定本办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color w:val="000000"/>
          <w:kern w:val="0"/>
          <w:sz w:val="32"/>
          <w:szCs w:val="32"/>
        </w:rPr>
        <w:t>第二条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 xml:space="preserve">  进一步完善科学合理的开放式、竞争性的教学管理制度，把竞争激励机制和创新意识引入教学管理，充分挖掘专业教学资源，在保证人才培养质量的情况下，积极为学生自主理性选择、实现良好的专业发展创造条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color w:val="000000"/>
          <w:kern w:val="0"/>
          <w:sz w:val="32"/>
          <w:szCs w:val="32"/>
        </w:rPr>
        <w:t>第三条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 xml:space="preserve">  转专业工作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遵照“公正、公平、公开”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原则进行。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firstLine="640" w:firstLineChars="200"/>
        <w:jc w:val="center"/>
        <w:textAlignment w:val="auto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  <w:t>第二章  范围与原则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color w:val="000000"/>
          <w:kern w:val="0"/>
          <w:sz w:val="32"/>
          <w:szCs w:val="32"/>
        </w:rPr>
        <w:t>第四条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 xml:space="preserve">  学生须坚持四项基本原则，遵守校纪校规，尊敬师长，团结同学，具有良好的思想品德。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yellow"/>
        </w:rPr>
      </w:pPr>
      <w:r>
        <w:rPr>
          <w:rFonts w:hint="default" w:ascii="Times New Roman" w:hAnsi="Times New Roman" w:eastAsia="楷体_GB2312" w:cs="Times New Roman"/>
          <w:b/>
          <w:bCs/>
          <w:color w:val="000000"/>
          <w:kern w:val="0"/>
          <w:sz w:val="32"/>
          <w:szCs w:val="32"/>
        </w:rPr>
        <w:t>第五条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 xml:space="preserve">  学生须按规定缴纳学费并注册，具备学校学籍。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color w:val="000000"/>
          <w:kern w:val="0"/>
          <w:sz w:val="32"/>
          <w:szCs w:val="32"/>
        </w:rPr>
        <w:t>第六条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 xml:space="preserve">  转专业在学校当年所招的本科专业中互转，其中文科、理科、工科专业均可互转。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color w:val="000000"/>
          <w:kern w:val="0"/>
          <w:sz w:val="32"/>
          <w:szCs w:val="32"/>
        </w:rPr>
        <w:t>第七条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学校本科生转专业分为普通转专业和其他类型转专业两种类型。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color w:val="000000"/>
          <w:kern w:val="0"/>
          <w:sz w:val="32"/>
          <w:szCs w:val="32"/>
        </w:rPr>
        <w:t>第八条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 xml:space="preserve">  普通转专业：学生可根据学校公布的转专业容量、申请条件及考核办法申请转专业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。确因专业不适应，造成学习困难或无能力修读原专业的二年级及以上学生，申请降级后可报名相应年级的转专业申请工作。申请转专业的学生务必仔细考虑，充分征求家长意见，谨慎选择转入专业。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color w:val="000000"/>
          <w:kern w:val="0"/>
          <w:sz w:val="32"/>
          <w:szCs w:val="32"/>
        </w:rPr>
        <w:t>第九条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  其他类型转专业：学生有下列情况之一者，可申请转专业，不占学校其他学生转专业名额。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1.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因退伍等符合国家特殊政策的学生申请转专业，按国家有关规定执行。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2.学生确因生理缺陷，经学校医疗单位检查证明，不能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在原专业学习，但尚能在本校其他专业学习者，可申请转到相应的专业学习。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3.学生休学（保留学籍）期满复学后，如原专业无行政班可跟读，可申请转入相近专业。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4.学生确有拟转入专业的特长，并有充分证据（发表论文、发明专利、获奖等）表明转专业更有利于发挥其专长的，可申请转入该专业。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b/>
          <w:bCs/>
          <w:color w:val="000000"/>
          <w:kern w:val="0"/>
          <w:sz w:val="32"/>
          <w:szCs w:val="32"/>
          <w:highlight w:val="none"/>
        </w:rPr>
        <w:t>第十条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 xml:space="preserve">  学生有下列情况之一者，不予办理转专业：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firstLine="640" w:firstLineChars="200"/>
        <w:textAlignment w:val="auto"/>
        <w:rPr>
          <w:rFonts w:hint="eastAsia" w:eastAsia="仿宋_GB2312" w:cs="Times New Roman"/>
          <w:color w:val="000000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>1.转入专业培养方案通识必选课有不及格记录</w:t>
      </w:r>
      <w:r>
        <w:rPr>
          <w:rFonts w:hint="eastAsia" w:eastAsia="仿宋_GB2312" w:cs="Times New Roman"/>
          <w:color w:val="000000"/>
          <w:kern w:val="0"/>
          <w:sz w:val="32"/>
          <w:szCs w:val="32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>2.招生时确定为定向、委托培养和中外合作办学的（委托方同意变更专业的除外）</w:t>
      </w:r>
      <w:r>
        <w:rPr>
          <w:rFonts w:hint="eastAsia" w:eastAsia="仿宋_GB2312" w:cs="Times New Roman"/>
          <w:color w:val="000000"/>
          <w:kern w:val="0"/>
          <w:sz w:val="32"/>
          <w:szCs w:val="32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>3.设计学类、单招单考、专升本学生</w:t>
      </w:r>
      <w:r>
        <w:rPr>
          <w:rFonts w:hint="eastAsia" w:eastAsia="仿宋_GB2312" w:cs="Times New Roman"/>
          <w:color w:val="000000"/>
          <w:kern w:val="0"/>
          <w:sz w:val="32"/>
          <w:szCs w:val="32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>4.正在休学、保留学籍或保留入学资格的；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>5.应予退学的；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>6.在校期间已转过专业的；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>7.无正当理由的。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firstLine="640" w:firstLineChars="200"/>
        <w:jc w:val="center"/>
        <w:textAlignment w:val="auto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highlight w:val="none"/>
        </w:rPr>
        <w:t>第三章  普通转专业工作程序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b/>
          <w:bCs/>
          <w:color w:val="000000"/>
          <w:kern w:val="0"/>
          <w:sz w:val="32"/>
          <w:szCs w:val="32"/>
          <w:highlight w:val="none"/>
        </w:rPr>
        <w:t>第十一条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 xml:space="preserve">  学院根据专业教学资源、班额等情况，研究确定转专业容量、申请条件及考核办法，报教务处汇总公布。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b/>
          <w:bCs/>
          <w:color w:val="000000"/>
          <w:kern w:val="0"/>
          <w:sz w:val="32"/>
          <w:szCs w:val="32"/>
          <w:highlight w:val="none"/>
        </w:rPr>
        <w:t>第十二条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 xml:space="preserve">  学生按以下程序办理转专业：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>1.符合转专业条件的学生于第一、二、三学期末通过教务管理系统填写、提交并打印转专业申请表，经本人及家长签字，于第二、第三、四学期开学第一周内上交所在二级学院审核后交拟转入学院。教务处公布转专业申请情况，未按规定申请的，不得补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>2.申请转专业学生于开学初第一周进入申请的专业试听，并在原学院办理请假手续，试听结束后确因不适应申请的专业，可申请撤销转专业。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>3.拟转入学院根据公布的申请条件、考核办法对申请转入学生进行资格审查、考核，并将审核及考核结果报教务处复核。教务处汇总、复核后公布转专业审核情况。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b/>
          <w:bCs/>
          <w:color w:val="000000"/>
          <w:kern w:val="0"/>
          <w:sz w:val="32"/>
          <w:szCs w:val="32"/>
          <w:highlight w:val="none"/>
        </w:rPr>
        <w:t>第十三条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 xml:space="preserve">  教务处确定拟转专业名单并进行公示，公示无异议后，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教务处将转专业学生名单报主管校长批复发文。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firstLine="640" w:firstLineChars="200"/>
        <w:jc w:val="center"/>
        <w:textAlignment w:val="auto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highlight w:val="none"/>
        </w:rPr>
        <w:t>第四章  其他类型转专业工作程序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color w:val="000000"/>
          <w:kern w:val="0"/>
          <w:sz w:val="32"/>
          <w:szCs w:val="32"/>
          <w:highlight w:val="none"/>
        </w:rPr>
        <w:t>第十四条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 xml:space="preserve">  符合第九条的学生可于第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二至六学期第一周内向所在二级学院提交《温州理工学院转专业申请表》，并附上相关证明材料，经学院审核同意后报教务处，学校成立由教务处、学生处、转入学院等相关专家组成的转专业工作组对学生申请材料进行审核、鉴定，确定拟转专业名单，并公示、发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firstLine="640" w:firstLineChars="200"/>
        <w:jc w:val="center"/>
        <w:textAlignment w:val="auto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  <w:t>第五章  转专业后的管理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color w:val="000000"/>
          <w:kern w:val="0"/>
          <w:sz w:val="32"/>
          <w:szCs w:val="32"/>
        </w:rPr>
        <w:t>第十五条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教务处统一办理转专业学生的学籍变更手续，并报省教育厅。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color w:val="000000"/>
          <w:kern w:val="0"/>
          <w:sz w:val="32"/>
          <w:szCs w:val="32"/>
        </w:rPr>
        <w:t>第十六条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 xml:space="preserve">  学生转专业后按转入专业学费标准缴纳学费。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color w:val="000000"/>
          <w:kern w:val="0"/>
          <w:sz w:val="32"/>
          <w:szCs w:val="32"/>
        </w:rPr>
        <w:t>第十七条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 xml:space="preserve">  二级学院将转入学生的分班情况报教务处。转专业学生学号不作变更，学生证信息由转入学院修改，已订购的教材不予退换，进入新专业学习的教材可向图书公司订购，一卡通可凭修改后的学生证至一卡通办理部门办理新卡，学生宿舍根据实际情况作相应的调整。如涉及党、团组织关系的变化，学生本人应及时到相关部门办理组织关系转移手续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color w:val="000000"/>
          <w:kern w:val="0"/>
          <w:sz w:val="32"/>
          <w:szCs w:val="32"/>
        </w:rPr>
        <w:t>第十八条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 xml:space="preserve">  转专业学生按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转入专业的人才培养方案执行。学院对转入学生的已获学分进行认定，并指导学生制订个人修读计划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，重新进行选课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。未修课程应补修或改修，已修且成绩合格的课程可向开课学院申请充抵相同、相近课程，多余学分可以充抵相应的任选课、公选课，学生所在二级学院汇总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后报教务处办理。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firstLine="640" w:firstLineChars="200"/>
        <w:jc w:val="center"/>
        <w:textAlignment w:val="auto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  <w:t>第六章  附  则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</w:rPr>
      </w:pPr>
      <w:r>
        <w:rPr>
          <w:rFonts w:hint="default" w:ascii="Times New Roman" w:hAnsi="Times New Roman" w:eastAsia="楷体_GB2312" w:cs="Times New Roman"/>
          <w:b/>
          <w:bCs/>
          <w:color w:val="000000"/>
          <w:kern w:val="0"/>
          <w:sz w:val="32"/>
          <w:szCs w:val="32"/>
        </w:rPr>
        <w:t>第十九条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 xml:space="preserve">  本办法自2021级本科生起实施，此前与本办法有冲突的相关规定，以本办法为准，具体由教务处负责解释。学校另有特殊规定的按其规定办理。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bidi w:val="0"/>
        <w:rPr>
          <w:rFonts w:hint="default" w:ascii="Times New Roman" w:hAnsi="Times New Roman" w:cs="Times New Roman"/>
        </w:rPr>
      </w:pPr>
    </w:p>
    <w:p>
      <w:pPr>
        <w:bidi w:val="0"/>
        <w:rPr>
          <w:rFonts w:hint="default" w:ascii="Times New Roman" w:hAnsi="Times New Roman" w:cs="Times New Roman"/>
        </w:rPr>
      </w:pPr>
    </w:p>
    <w:p>
      <w:pPr>
        <w:bidi w:val="0"/>
        <w:rPr>
          <w:rFonts w:hint="default" w:ascii="Times New Roman" w:hAnsi="Times New Roman" w:cs="Times New Roman"/>
        </w:rPr>
      </w:pPr>
    </w:p>
    <w:p>
      <w:pPr>
        <w:bidi w:val="0"/>
        <w:rPr>
          <w:rFonts w:hint="default" w:ascii="Times New Roman" w:hAnsi="Times New Roman" w:cs="Times New Roman"/>
        </w:rPr>
      </w:pPr>
    </w:p>
    <w:p>
      <w:pPr>
        <w:bidi w:val="0"/>
        <w:rPr>
          <w:rFonts w:hint="default" w:ascii="Times New Roman" w:hAnsi="Times New Roman" w:cs="Times New Roman"/>
        </w:rPr>
      </w:pPr>
    </w:p>
    <w:p>
      <w:pPr>
        <w:bidi w:val="0"/>
        <w:rPr>
          <w:rFonts w:hint="default" w:ascii="Times New Roman" w:hAnsi="Times New Roman" w:cs="Times New Roman"/>
        </w:rPr>
      </w:pPr>
    </w:p>
    <w:p>
      <w:pPr>
        <w:bidi w:val="0"/>
        <w:rPr>
          <w:rFonts w:hint="default" w:ascii="Times New Roman" w:hAnsi="Times New Roman" w:cs="Times New Roman"/>
        </w:rPr>
      </w:pPr>
    </w:p>
    <w:p>
      <w:pPr>
        <w:bidi w:val="0"/>
        <w:rPr>
          <w:rFonts w:hint="default" w:ascii="Times New Roman" w:hAnsi="Times New Roman" w:cs="Times New Roman"/>
        </w:rPr>
      </w:pPr>
    </w:p>
    <w:p>
      <w:pPr>
        <w:bidi w:val="0"/>
        <w:rPr>
          <w:rFonts w:hint="default" w:ascii="Times New Roman" w:hAnsi="Times New Roman" w:cs="Times New Roman"/>
        </w:rPr>
      </w:pPr>
    </w:p>
    <w:p>
      <w:pPr>
        <w:bidi w:val="0"/>
        <w:rPr>
          <w:rFonts w:hint="default" w:ascii="Times New Roman" w:hAnsi="Times New Roman" w:cs="Times New Roman"/>
        </w:rPr>
      </w:pPr>
    </w:p>
    <w:p>
      <w:pPr>
        <w:bidi w:val="0"/>
        <w:rPr>
          <w:rFonts w:hint="default" w:ascii="Times New Roman" w:hAnsi="Times New Roman" w:cs="Times New Roman"/>
        </w:rPr>
      </w:pPr>
    </w:p>
    <w:p>
      <w:pPr>
        <w:bidi w:val="0"/>
        <w:rPr>
          <w:rFonts w:hint="default" w:ascii="Times New Roman" w:hAnsi="Times New Roman" w:cs="Times New Roman"/>
        </w:rPr>
      </w:pPr>
    </w:p>
    <w:p>
      <w:pPr>
        <w:bidi w:val="0"/>
        <w:rPr>
          <w:rFonts w:hint="default" w:ascii="Times New Roman" w:hAnsi="Times New Roman" w:cs="Times New Roman"/>
        </w:rPr>
      </w:pPr>
    </w:p>
    <w:p>
      <w:pPr>
        <w:bidi w:val="0"/>
        <w:rPr>
          <w:rFonts w:hint="default" w:ascii="Times New Roman" w:hAnsi="Times New Roman" w:cs="Times New Roman"/>
        </w:rPr>
      </w:pPr>
    </w:p>
    <w:p>
      <w:pPr>
        <w:bidi w:val="0"/>
        <w:rPr>
          <w:rFonts w:hint="default" w:ascii="Times New Roman" w:hAnsi="Times New Roman" w:cs="Times New Roman"/>
        </w:rPr>
      </w:pPr>
    </w:p>
    <w:p>
      <w:pPr>
        <w:bidi w:val="0"/>
        <w:rPr>
          <w:rFonts w:hint="default" w:ascii="Times New Roman" w:hAnsi="Times New Roman" w:cs="Times New Roman"/>
        </w:rPr>
      </w:pPr>
    </w:p>
    <w:p>
      <w:pPr>
        <w:bidi w:val="0"/>
        <w:rPr>
          <w:rFonts w:hint="default" w:ascii="Times New Roman" w:hAnsi="Times New Roman" w:cs="Times New Roman"/>
        </w:rPr>
      </w:pPr>
    </w:p>
    <w:p>
      <w:pPr>
        <w:bidi w:val="0"/>
        <w:rPr>
          <w:rFonts w:hint="default" w:ascii="Times New Roman" w:hAnsi="Times New Roman" w:cs="Times New Roman"/>
        </w:rPr>
      </w:pPr>
    </w:p>
    <w:p>
      <w:pPr>
        <w:bidi w:val="0"/>
        <w:rPr>
          <w:rFonts w:hint="default" w:ascii="Times New Roman" w:hAnsi="Times New Roman" w:cs="Times New Roman"/>
        </w:rPr>
      </w:pPr>
    </w:p>
    <w:p>
      <w:pPr>
        <w:bidi w:val="0"/>
        <w:rPr>
          <w:rFonts w:hint="default" w:ascii="Times New Roman" w:hAnsi="Times New Roman" w:cs="Times New Roman"/>
        </w:rPr>
      </w:pPr>
    </w:p>
    <w:p>
      <w:pPr>
        <w:bidi w:val="0"/>
        <w:rPr>
          <w:rFonts w:hint="default" w:ascii="Times New Roman" w:hAnsi="Times New Roman" w:cs="Times New Roman"/>
        </w:rPr>
      </w:pPr>
    </w:p>
    <w:p>
      <w:pPr>
        <w:bidi w:val="0"/>
        <w:rPr>
          <w:rFonts w:hint="default" w:ascii="Times New Roman" w:hAnsi="Times New Roman" w:cs="Times New Roman"/>
        </w:rPr>
      </w:pPr>
    </w:p>
    <w:p>
      <w:pPr>
        <w:bidi w:val="0"/>
        <w:rPr>
          <w:rFonts w:hint="default" w:ascii="Times New Roman" w:hAnsi="Times New Roman" w:cs="Times New Roman"/>
        </w:rPr>
      </w:pPr>
    </w:p>
    <w:p>
      <w:pPr>
        <w:bidi w:val="0"/>
        <w:rPr>
          <w:rFonts w:hint="default" w:ascii="Times New Roman" w:hAnsi="Times New Roman" w:cs="Times New Roman"/>
        </w:rPr>
      </w:pPr>
    </w:p>
    <w:p>
      <w:pPr>
        <w:bidi w:val="0"/>
        <w:rPr>
          <w:rFonts w:hint="default" w:ascii="Times New Roman" w:hAnsi="Times New Roman" w:cs="Times New Roman"/>
        </w:rPr>
      </w:pPr>
    </w:p>
    <w:p>
      <w:pPr>
        <w:bidi w:val="0"/>
        <w:rPr>
          <w:rFonts w:hint="default" w:ascii="Times New Roman" w:hAnsi="Times New Roman" w:cs="Times New Roman"/>
        </w:rPr>
      </w:pPr>
    </w:p>
    <w:p>
      <w:pPr>
        <w:bidi w:val="0"/>
        <w:rPr>
          <w:rFonts w:hint="default" w:ascii="Times New Roman" w:hAnsi="Times New Roman" w:cs="Times New Roman"/>
        </w:rPr>
      </w:pPr>
    </w:p>
    <w:p>
      <w:pPr>
        <w:bidi w:val="0"/>
        <w:rPr>
          <w:rFonts w:hint="default" w:ascii="Times New Roman" w:hAnsi="Times New Roman" w:cs="Times New Roman"/>
        </w:rPr>
      </w:pPr>
    </w:p>
    <w:p>
      <w:pPr>
        <w:bidi w:val="0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bidi w:val="0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/>
        </w:rPr>
      </w:pPr>
    </w:p>
    <w:tbl>
      <w:tblPr>
        <w:tblStyle w:val="9"/>
        <w:tblpPr w:leftFromText="180" w:rightFromText="180" w:vertAnchor="text" w:horzAnchor="page" w:tblpX="1842" w:tblpY="189"/>
        <w:tblW w:w="0" w:type="auto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0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320" w:firstLineChars="100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 xml:space="preserve">温州理工学院校长办公室 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 xml:space="preserve"> 202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日印发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7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default" w:ascii="Times New Roman" w:hAnsi="Times New Roman" w:eastAsia="宋体" w:cs="Times New Roman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sz w:val="28"/>
                              <w:szCs w:val="44"/>
                            </w:rPr>
                          </w:pPr>
                          <w:r>
                            <w:rPr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44"/>
                            </w:rPr>
                            <w:t>- 1 -</w:t>
                          </w:r>
                          <w:r>
                            <w:rPr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sz w:val="28"/>
                        <w:szCs w:val="44"/>
                      </w:rPr>
                    </w:pPr>
                    <w:r>
                      <w:rPr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sz w:val="28"/>
                        <w:szCs w:val="44"/>
                      </w:rPr>
                      <w:t>- 1 -</w:t>
                    </w:r>
                    <w:r>
                      <w:rPr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dit="forms" w:enforcement="1" w:cryptProviderType="rsaFull" w:cryptAlgorithmClass="hash" w:cryptAlgorithmType="typeAny" w:cryptAlgorithmSid="4" w:cryptSpinCount="0" w:hash="H95DOaz6TLFkQWRwQM2GQTwJXs0=" w:salt="kd7yQiaNedsP5lpr+3Evpw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JkZDFiMmIwYTk3YzE2ZTg3Nzg4N2FhOTMyMTlkNTAifQ=="/>
  </w:docVars>
  <w:rsids>
    <w:rsidRoot w:val="69C818F5"/>
    <w:rsid w:val="0004276D"/>
    <w:rsid w:val="002417E5"/>
    <w:rsid w:val="00465F19"/>
    <w:rsid w:val="004D294B"/>
    <w:rsid w:val="00640AF8"/>
    <w:rsid w:val="00652DF7"/>
    <w:rsid w:val="006E01CB"/>
    <w:rsid w:val="008E396D"/>
    <w:rsid w:val="008F3EAE"/>
    <w:rsid w:val="00A84BDF"/>
    <w:rsid w:val="00B238CF"/>
    <w:rsid w:val="00C24CC5"/>
    <w:rsid w:val="00CF09AB"/>
    <w:rsid w:val="00FD67B4"/>
    <w:rsid w:val="02E550DA"/>
    <w:rsid w:val="0388511E"/>
    <w:rsid w:val="12630933"/>
    <w:rsid w:val="143F76DC"/>
    <w:rsid w:val="150A28A6"/>
    <w:rsid w:val="189C5E33"/>
    <w:rsid w:val="19747A66"/>
    <w:rsid w:val="2059208B"/>
    <w:rsid w:val="21F52E80"/>
    <w:rsid w:val="2281323E"/>
    <w:rsid w:val="28DC69F3"/>
    <w:rsid w:val="2B24107B"/>
    <w:rsid w:val="2DA77776"/>
    <w:rsid w:val="30544CE1"/>
    <w:rsid w:val="39F37185"/>
    <w:rsid w:val="428C16A3"/>
    <w:rsid w:val="431E50B1"/>
    <w:rsid w:val="48D118F2"/>
    <w:rsid w:val="4CEA5631"/>
    <w:rsid w:val="4F0F274E"/>
    <w:rsid w:val="502E08CB"/>
    <w:rsid w:val="51D125EF"/>
    <w:rsid w:val="520F1F42"/>
    <w:rsid w:val="58F94EE1"/>
    <w:rsid w:val="60343BAD"/>
    <w:rsid w:val="67EF1E26"/>
    <w:rsid w:val="69006D22"/>
    <w:rsid w:val="69C818F5"/>
    <w:rsid w:val="71237DA1"/>
    <w:rsid w:val="73544ED1"/>
    <w:rsid w:val="77F560D8"/>
    <w:rsid w:val="7A2E2D60"/>
    <w:rsid w:val="7B750341"/>
    <w:rsid w:val="7C5A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line="500" w:lineRule="exact"/>
      <w:ind w:firstLine="420"/>
    </w:pPr>
    <w:rPr>
      <w:kern w:val="0"/>
      <w:sz w:val="28"/>
      <w:szCs w:val="20"/>
    </w:rPr>
  </w:style>
  <w:style w:type="paragraph" w:styleId="3">
    <w:name w:val="Body Text"/>
    <w:basedOn w:val="1"/>
    <w:next w:val="2"/>
    <w:qFormat/>
    <w:uiPriority w:val="0"/>
    <w:pPr>
      <w:spacing w:line="320" w:lineRule="exact"/>
      <w:jc w:val="center"/>
    </w:pPr>
  </w:style>
  <w:style w:type="paragraph" w:styleId="4">
    <w:name w:val="Body Text Indent"/>
    <w:basedOn w:val="1"/>
    <w:qFormat/>
    <w:uiPriority w:val="0"/>
    <w:pPr>
      <w:adjustRightInd w:val="0"/>
      <w:snapToGrid w:val="0"/>
      <w:spacing w:line="560" w:lineRule="exact"/>
      <w:ind w:firstLine="598" w:firstLineChars="200"/>
    </w:pPr>
    <w:rPr>
      <w:rFonts w:ascii="仿宋_GB2312" w:eastAsia="仿宋_GB2312"/>
      <w:sz w:val="32"/>
    </w:rPr>
  </w:style>
  <w:style w:type="paragraph" w:styleId="5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next w:val="5"/>
    <w:qFormat/>
    <w:uiPriority w:val="0"/>
    <w:pPr>
      <w:spacing w:beforeAutospacing="1" w:afterAutospacing="1"/>
      <w:jc w:val="left"/>
    </w:pPr>
    <w:rPr>
      <w:rFonts w:asciiTheme="minorHAnsi" w:hAnsiTheme="minorHAnsi"/>
      <w:kern w:val="0"/>
      <w:sz w:val="24"/>
    </w:rPr>
  </w:style>
  <w:style w:type="table" w:styleId="10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Hyperlink"/>
    <w:basedOn w:val="11"/>
    <w:qFormat/>
    <w:uiPriority w:val="0"/>
    <w:rPr>
      <w:color w:val="0000FF"/>
      <w:u w:val="single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2040</Words>
  <Characters>2081</Characters>
  <Lines>14</Lines>
  <Paragraphs>3</Paragraphs>
  <TotalTime>0</TotalTime>
  <ScaleCrop>false</ScaleCrop>
  <LinksUpToDate>false</LinksUpToDate>
  <CharactersWithSpaces>2185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2023-07-05T05:49:00Z</dcterms:created>
  <dc:creator>吴少敏ྀི</dc:creator>
  <cp:lastModifiedBy>欧欧</cp:lastModifiedBy>
  <cp:lastPrinted>2023-07-05T06:37:00Z</cp:lastPrinted>
  <dcterms:modified xsi:type="dcterms:W3CDTF">2023-07-08T05:34:13Z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96C7F3223FD14580BB32A78781C96947_13</vt:lpwstr>
  </property>
</Properties>
</file>