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518B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b/>
          <w:sz w:val="32"/>
          <w:szCs w:val="32"/>
        </w:rPr>
      </w:pPr>
      <w:r>
        <w:rPr>
          <w:rFonts w:hint="eastAsia" w:ascii="宋体" w:hAnsi="宋体"/>
          <w:b/>
          <w:sz w:val="32"/>
          <w:szCs w:val="32"/>
        </w:rPr>
        <w:t>“正大杯”</w:t>
      </w:r>
      <w:r>
        <w:rPr>
          <w:rFonts w:hint="eastAsia" w:ascii="宋体" w:hAnsi="宋体"/>
          <w:b/>
          <w:sz w:val="32"/>
          <w:szCs w:val="32"/>
          <w:lang w:eastAsia="zh-CN"/>
        </w:rPr>
        <w:t>第十五届</w:t>
      </w:r>
      <w:r>
        <w:rPr>
          <w:rFonts w:hint="eastAsia" w:ascii="宋体" w:hAnsi="宋体"/>
          <w:b/>
          <w:sz w:val="32"/>
          <w:szCs w:val="32"/>
        </w:rPr>
        <w:t>全国大学生市场调查与分析大赛</w:t>
      </w:r>
    </w:p>
    <w:p w14:paraId="3E42AA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8"/>
          <w:szCs w:val="28"/>
        </w:rPr>
      </w:pPr>
      <w:r>
        <w:rPr>
          <w:rFonts w:hint="eastAsia" w:ascii="宋体" w:hAnsi="宋体"/>
          <w:b/>
          <w:sz w:val="32"/>
          <w:szCs w:val="32"/>
        </w:rPr>
        <w:t>参赛报名须知</w:t>
      </w:r>
    </w:p>
    <w:p w14:paraId="219070B4">
      <w:pPr>
        <w:keepNext w:val="0"/>
        <w:keepLines w:val="0"/>
        <w:pageBreakBefore w:val="0"/>
        <w:widowControl w:val="0"/>
        <w:kinsoku/>
        <w:wordWrap/>
        <w:overflowPunct/>
        <w:topLinePunct w:val="0"/>
        <w:autoSpaceDE/>
        <w:autoSpaceDN/>
        <w:bidi w:val="0"/>
        <w:adjustRightInd/>
        <w:snapToGrid/>
        <w:spacing w:line="360" w:lineRule="auto"/>
        <w:ind w:left="2483" w:right="69" w:rightChars="33" w:hanging="2483" w:hangingChars="776"/>
        <w:jc w:val="center"/>
        <w:textAlignment w:val="auto"/>
        <w:rPr>
          <w:rFonts w:hint="eastAsia" w:ascii="宋体" w:hAnsi="宋体"/>
          <w:sz w:val="32"/>
          <w:szCs w:val="32"/>
        </w:rPr>
      </w:pPr>
    </w:p>
    <w:p w14:paraId="3C6996DE">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sz w:val="24"/>
        </w:rPr>
      </w:pPr>
      <w:r>
        <w:rPr>
          <w:rFonts w:hint="eastAsia" w:ascii="宋体" w:hAnsi="宋体"/>
          <w:sz w:val="24"/>
        </w:rPr>
        <w:t>欢迎报名参加“正大杯”</w:t>
      </w:r>
      <w:r>
        <w:rPr>
          <w:rFonts w:hint="eastAsia" w:ascii="宋体" w:hAnsi="宋体"/>
          <w:sz w:val="24"/>
          <w:lang w:eastAsia="zh-CN"/>
        </w:rPr>
        <w:t>第十五届</w:t>
      </w:r>
      <w:r>
        <w:rPr>
          <w:rFonts w:hint="eastAsia" w:ascii="宋体" w:hAnsi="宋体"/>
          <w:sz w:val="24"/>
        </w:rPr>
        <w:t>全国大学生市场调查与分析大赛！</w:t>
      </w:r>
    </w:p>
    <w:p w14:paraId="37E33558">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sz w:val="24"/>
        </w:rPr>
      </w:pPr>
      <w:r>
        <w:rPr>
          <w:rFonts w:hint="eastAsia" w:ascii="宋体" w:hAnsi="宋体"/>
          <w:sz w:val="24"/>
        </w:rPr>
        <w:t>为保证大赛公开、公平、公正和顺利进行，</w:t>
      </w:r>
      <w:r>
        <w:rPr>
          <w:rFonts w:hint="eastAsia" w:ascii="宋体" w:hAnsi="宋体"/>
          <w:sz w:val="24"/>
          <w:lang w:eastAsia="zh-CN"/>
        </w:rPr>
        <w:t>第十五届</w:t>
      </w:r>
      <w:r>
        <w:rPr>
          <w:rFonts w:hint="eastAsia" w:ascii="宋体" w:hAnsi="宋体"/>
          <w:sz w:val="24"/>
        </w:rPr>
        <w:t>市场调查与分析大赛只接受网上报名注册、下载模拟试题等操作以及在线学习等。现将报名和参赛须知告知如下：</w:t>
      </w:r>
    </w:p>
    <w:p w14:paraId="618435FE">
      <w:pPr>
        <w:keepNext w:val="0"/>
        <w:keepLines w:val="0"/>
        <w:pageBreakBefore w:val="0"/>
        <w:widowControl w:val="0"/>
        <w:kinsoku/>
        <w:wordWrap/>
        <w:overflowPunct/>
        <w:topLinePunct w:val="0"/>
        <w:autoSpaceDE/>
        <w:autoSpaceDN/>
        <w:bidi w:val="0"/>
        <w:adjustRightInd/>
        <w:snapToGrid/>
        <w:spacing w:line="360" w:lineRule="auto"/>
        <w:ind w:left="510" w:right="69" w:rightChars="33"/>
        <w:jc w:val="left"/>
        <w:textAlignment w:val="auto"/>
        <w:rPr>
          <w:rFonts w:hint="eastAsia" w:ascii="宋体" w:hAnsi="宋体"/>
          <w:bCs/>
          <w:sz w:val="24"/>
          <w:highlight w:val="yellow"/>
        </w:rPr>
      </w:pPr>
      <w:r>
        <w:rPr>
          <w:rFonts w:ascii="宋体" w:hAnsi="宋体" w:eastAsia="宋体" w:cs="宋体"/>
          <w:b/>
          <w:bCs/>
          <w:sz w:val="24"/>
          <w:szCs w:val="24"/>
          <w:highlight w:val="yellow"/>
        </w:rPr>
        <w:t>报名步骤：</w:t>
      </w:r>
      <w:r>
        <w:rPr>
          <w:rFonts w:ascii="宋体" w:hAnsi="宋体" w:eastAsia="宋体" w:cs="宋体"/>
          <w:sz w:val="24"/>
          <w:szCs w:val="24"/>
          <w:highlight w:val="yellow"/>
        </w:rPr>
        <w:t>官网报名→加入参赛</w:t>
      </w:r>
      <w:r>
        <w:rPr>
          <w:rFonts w:hint="eastAsia" w:ascii="宋体" w:hAnsi="宋体" w:cs="宋体"/>
          <w:sz w:val="24"/>
          <w:szCs w:val="24"/>
          <w:highlight w:val="yellow"/>
          <w:lang w:val="en-US" w:eastAsia="zh-CN"/>
        </w:rPr>
        <w:t>钉钉</w:t>
      </w:r>
      <w:r>
        <w:rPr>
          <w:rFonts w:ascii="宋体" w:hAnsi="宋体" w:eastAsia="宋体" w:cs="宋体"/>
          <w:sz w:val="24"/>
          <w:szCs w:val="24"/>
          <w:highlight w:val="yellow"/>
        </w:rPr>
        <w:t>群</w:t>
      </w:r>
    </w:p>
    <w:p w14:paraId="4080320B">
      <w:pPr>
        <w:keepNext w:val="0"/>
        <w:keepLines w:val="0"/>
        <w:pageBreakBefore w:val="0"/>
        <w:widowControl w:val="0"/>
        <w:kinsoku/>
        <w:wordWrap/>
        <w:overflowPunct/>
        <w:topLinePunct w:val="0"/>
        <w:autoSpaceDE/>
        <w:autoSpaceDN/>
        <w:bidi w:val="0"/>
        <w:adjustRightInd/>
        <w:snapToGrid/>
        <w:spacing w:line="360" w:lineRule="auto"/>
        <w:ind w:left="510" w:right="69" w:rightChars="33"/>
        <w:jc w:val="left"/>
        <w:textAlignment w:val="auto"/>
        <w:rPr>
          <w:rFonts w:hint="eastAsia" w:ascii="宋体" w:hAnsi="宋体" w:eastAsia="宋体"/>
          <w:bCs/>
          <w:sz w:val="24"/>
          <w:lang w:val="en-US" w:eastAsia="zh-CN"/>
        </w:rPr>
      </w:pPr>
      <w:r>
        <w:rPr>
          <w:rFonts w:hint="eastAsia" w:ascii="宋体" w:hAnsi="宋体"/>
          <w:bCs/>
          <w:sz w:val="24"/>
        </w:rPr>
        <w:t>本科组报名</w:t>
      </w:r>
      <w:r>
        <w:rPr>
          <w:rFonts w:hint="eastAsia" w:ascii="宋体" w:hAnsi="宋体"/>
          <w:b/>
          <w:bCs w:val="0"/>
          <w:sz w:val="24"/>
        </w:rPr>
        <w:t>截止日期</w:t>
      </w:r>
      <w:r>
        <w:rPr>
          <w:rFonts w:hint="eastAsia" w:ascii="宋体" w:hAnsi="宋体"/>
          <w:bCs/>
          <w:sz w:val="24"/>
        </w:rPr>
        <w:t>为</w:t>
      </w:r>
      <w:r>
        <w:rPr>
          <w:rFonts w:hint="eastAsia" w:ascii="宋体" w:hAnsi="宋体"/>
          <w:bCs/>
          <w:sz w:val="24"/>
          <w:lang w:eastAsia="zh-CN"/>
        </w:rPr>
        <w:t>：</w:t>
      </w:r>
      <w:r>
        <w:rPr>
          <w:rFonts w:hint="eastAsia" w:ascii="宋体" w:hAnsi="宋体"/>
          <w:b/>
          <w:bCs w:val="0"/>
          <w:color w:val="FF0000"/>
          <w:sz w:val="24"/>
        </w:rPr>
        <w:t>202</w:t>
      </w:r>
      <w:r>
        <w:rPr>
          <w:rFonts w:hint="eastAsia" w:ascii="宋体" w:hAnsi="宋体"/>
          <w:b/>
          <w:bCs w:val="0"/>
          <w:color w:val="FF0000"/>
          <w:sz w:val="24"/>
          <w:lang w:val="en-US" w:eastAsia="zh-CN"/>
        </w:rPr>
        <w:t>4</w:t>
      </w:r>
      <w:r>
        <w:rPr>
          <w:rFonts w:hint="eastAsia" w:ascii="宋体" w:hAnsi="宋体"/>
          <w:b/>
          <w:bCs w:val="0"/>
          <w:color w:val="FF0000"/>
          <w:sz w:val="24"/>
        </w:rPr>
        <w:t>年10月</w:t>
      </w:r>
      <w:r>
        <w:rPr>
          <w:rFonts w:hint="eastAsia" w:ascii="宋体" w:hAnsi="宋体"/>
          <w:b/>
          <w:bCs w:val="0"/>
          <w:color w:val="FF0000"/>
          <w:sz w:val="24"/>
          <w:lang w:val="en-US" w:eastAsia="zh-CN"/>
        </w:rPr>
        <w:t>30</w:t>
      </w:r>
      <w:r>
        <w:rPr>
          <w:rFonts w:hint="eastAsia" w:ascii="宋体" w:hAnsi="宋体"/>
          <w:b/>
          <w:bCs w:val="0"/>
          <w:color w:val="FF0000"/>
          <w:sz w:val="24"/>
        </w:rPr>
        <w:t>日</w:t>
      </w:r>
      <w:r>
        <w:rPr>
          <w:rFonts w:hint="eastAsia" w:ascii="宋体" w:hAnsi="宋体"/>
          <w:b/>
          <w:bCs w:val="0"/>
          <w:color w:val="FF0000"/>
          <w:sz w:val="24"/>
          <w:lang w:eastAsia="zh-CN"/>
        </w:rPr>
        <w:t>。</w:t>
      </w:r>
    </w:p>
    <w:p w14:paraId="6488FDF2">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lang w:val="en-US" w:eastAsia="zh-CN"/>
        </w:rPr>
      </w:pPr>
      <w:bookmarkStart w:id="0" w:name="_GoBack"/>
      <w:bookmarkEnd w:id="0"/>
    </w:p>
    <w:p w14:paraId="47AC97FF">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r>
        <w:rPr>
          <w:rFonts w:hint="eastAsia" w:ascii="宋体" w:hAnsi="宋体"/>
          <w:b/>
          <w:sz w:val="24"/>
          <w:highlight w:val="yellow"/>
          <w:lang w:val="en-US" w:eastAsia="zh-CN"/>
        </w:rPr>
        <w:t>一</w:t>
      </w:r>
      <w:r>
        <w:rPr>
          <w:rFonts w:hint="eastAsia" w:ascii="宋体" w:hAnsi="宋体"/>
          <w:b/>
          <w:sz w:val="24"/>
          <w:highlight w:val="yellow"/>
        </w:rPr>
        <w:t>、报名流程</w:t>
      </w:r>
    </w:p>
    <w:p w14:paraId="6EAAE40C">
      <w:pPr>
        <w:keepNext w:val="0"/>
        <w:keepLines w:val="0"/>
        <w:pageBreakBefore w:val="0"/>
        <w:widowControl w:val="0"/>
        <w:kinsoku/>
        <w:wordWrap/>
        <w:overflowPunct/>
        <w:topLinePunct w:val="0"/>
        <w:autoSpaceDE/>
        <w:autoSpaceDN/>
        <w:bidi w:val="0"/>
        <w:adjustRightInd/>
        <w:snapToGrid/>
        <w:spacing w:line="360" w:lineRule="auto"/>
        <w:ind w:left="1566" w:right="69" w:rightChars="33" w:hanging="1566" w:hangingChars="650"/>
        <w:jc w:val="left"/>
        <w:textAlignment w:val="auto"/>
        <w:rPr>
          <w:rFonts w:hint="eastAsia" w:ascii="宋体" w:hAnsi="宋体"/>
          <w:sz w:val="24"/>
        </w:rPr>
      </w:pPr>
      <w:r>
        <w:rPr>
          <w:rFonts w:hint="eastAsia" w:ascii="宋体" w:hAnsi="宋体"/>
          <w:b/>
          <w:bCs/>
          <w:sz w:val="24"/>
        </w:rPr>
        <w:t>1、进入中国商业统计学会官网</w:t>
      </w:r>
      <w:r>
        <w:rPr>
          <w:rFonts w:hint="eastAsia" w:ascii="宋体" w:hAnsi="宋体"/>
          <w:sz w:val="24"/>
        </w:rPr>
        <w:t>：</w:t>
      </w:r>
      <w:r>
        <w:rPr>
          <w:bCs/>
          <w:color w:val="FF0000"/>
          <w:kern w:val="0"/>
          <w:sz w:val="24"/>
        </w:rPr>
        <w:fldChar w:fldCharType="begin"/>
      </w:r>
      <w:r>
        <w:rPr>
          <w:bCs/>
          <w:color w:val="FF0000"/>
          <w:kern w:val="0"/>
          <w:sz w:val="24"/>
        </w:rPr>
        <w:instrText xml:space="preserve"> HYPERLINK "http://www.china-cssc.org</w:instrText>
      </w:r>
      <w:r>
        <w:rPr>
          <w:bCs/>
          <w:kern w:val="0"/>
          <w:sz w:val="24"/>
        </w:rPr>
        <w:instrText xml:space="preserve">/</w:instrText>
      </w:r>
      <w:r>
        <w:rPr>
          <w:bCs/>
          <w:color w:val="FF0000"/>
          <w:kern w:val="0"/>
          <w:sz w:val="24"/>
        </w:rPr>
        <w:instrText xml:space="preserve">" </w:instrText>
      </w:r>
      <w:r>
        <w:rPr>
          <w:bCs/>
          <w:color w:val="FF0000"/>
          <w:kern w:val="0"/>
          <w:sz w:val="24"/>
        </w:rPr>
        <w:fldChar w:fldCharType="separate"/>
      </w:r>
      <w:r>
        <w:rPr>
          <w:rStyle w:val="4"/>
          <w:bCs/>
          <w:kern w:val="0"/>
          <w:sz w:val="24"/>
        </w:rPr>
        <w:t>http://www.china-cssc.org/</w:t>
      </w:r>
      <w:r>
        <w:rPr>
          <w:bCs/>
          <w:color w:val="FF0000"/>
          <w:kern w:val="0"/>
          <w:sz w:val="24"/>
        </w:rPr>
        <w:fldChar w:fldCharType="end"/>
      </w:r>
      <w:r>
        <w:rPr>
          <w:rFonts w:hint="eastAsia" w:ascii="宋体" w:hAnsi="宋体"/>
          <w:sz w:val="24"/>
        </w:rPr>
        <w:t>。</w:t>
      </w:r>
    </w:p>
    <w:p w14:paraId="04C33B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
          <w:bCs/>
          <w:kern w:val="0"/>
          <w:sz w:val="28"/>
          <w:szCs w:val="28"/>
        </w:rPr>
      </w:pPr>
      <w:r>
        <w:drawing>
          <wp:inline distT="0" distB="0" distL="114300" distR="114300">
            <wp:extent cx="5964555" cy="2554605"/>
            <wp:effectExtent l="0" t="0" r="762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964555" cy="2554605"/>
                    </a:xfrm>
                    <a:prstGeom prst="rect">
                      <a:avLst/>
                    </a:prstGeom>
                    <a:noFill/>
                    <a:ln>
                      <a:noFill/>
                    </a:ln>
                  </pic:spPr>
                </pic:pic>
              </a:graphicData>
            </a:graphic>
          </wp:inline>
        </w:drawing>
      </w:r>
    </w:p>
    <w:p w14:paraId="31D80ABC">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2、点击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调查分析技能大赛</w:t>
      </w:r>
      <w:r>
        <w:rPr>
          <w:rFonts w:hint="eastAsia" w:ascii="宋体" w:hAnsi="宋体" w:cs="宋体"/>
          <w:bCs/>
          <w:kern w:val="0"/>
          <w:sz w:val="24"/>
        </w:rPr>
        <w:t>，</w:t>
      </w:r>
      <w:r>
        <w:rPr>
          <w:rFonts w:hint="eastAsia" w:ascii="宋体" w:hAnsi="宋体" w:cs="宋体"/>
          <w:b/>
          <w:kern w:val="0"/>
          <w:sz w:val="24"/>
        </w:rPr>
        <w:t>进入大赛专题页面。</w:t>
      </w:r>
    </w:p>
    <w:p w14:paraId="255B9D71">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3、下拉右侧滚动条至</w:t>
      </w:r>
      <w:r>
        <w:rPr>
          <w:rFonts w:hint="eastAsia" w:ascii="宋体" w:hAnsi="宋体" w:cs="宋体"/>
          <w:bCs/>
          <w:color w:val="FF0000"/>
          <w:kern w:val="0"/>
          <w:sz w:val="24"/>
          <w:bdr w:val="single" w:color="auto" w:sz="4" w:space="0"/>
        </w:rPr>
        <w:t>在线报名</w:t>
      </w:r>
    </w:p>
    <w:p w14:paraId="4BE8C1A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
          <w:bCs/>
          <w:kern w:val="0"/>
          <w:sz w:val="28"/>
          <w:szCs w:val="28"/>
        </w:rPr>
      </w:pPr>
      <w:r>
        <w:drawing>
          <wp:inline distT="0" distB="0" distL="114300" distR="114300">
            <wp:extent cx="5053965" cy="1887220"/>
            <wp:effectExtent l="0" t="0" r="381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053965" cy="1887220"/>
                    </a:xfrm>
                    <a:prstGeom prst="rect">
                      <a:avLst/>
                    </a:prstGeom>
                    <a:noFill/>
                    <a:ln>
                      <a:noFill/>
                    </a:ln>
                  </pic:spPr>
                </pic:pic>
              </a:graphicData>
            </a:graphic>
          </wp:inline>
        </w:drawing>
      </w:r>
    </w:p>
    <w:p w14:paraId="614A624C">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cs="宋体"/>
          <w:bCs/>
          <w:kern w:val="0"/>
          <w:sz w:val="24"/>
        </w:rPr>
      </w:pPr>
      <w:r>
        <w:rPr>
          <w:rFonts w:hint="eastAsia" w:ascii="宋体" w:hAnsi="宋体" w:cs="宋体"/>
          <w:b/>
          <w:kern w:val="0"/>
          <w:sz w:val="24"/>
        </w:rPr>
        <w:t>4、</w:t>
      </w:r>
      <w:r>
        <w:rPr>
          <w:rFonts w:hint="eastAsia" w:ascii="宋体" w:hAnsi="宋体" w:cs="宋体"/>
          <w:bCs/>
          <w:kern w:val="0"/>
          <w:sz w:val="24"/>
        </w:rPr>
        <w:t>点击</w:t>
      </w:r>
      <w:r>
        <w:rPr>
          <w:rFonts w:hint="eastAsia" w:ascii="宋体" w:hAnsi="宋体" w:cs="宋体"/>
          <w:bCs/>
          <w:color w:val="FF0000"/>
          <w:kern w:val="0"/>
          <w:sz w:val="24"/>
          <w:bdr w:val="single" w:color="auto" w:sz="4" w:space="0"/>
        </w:rPr>
        <w:t>学生参赛报名</w:t>
      </w:r>
      <w:r>
        <w:rPr>
          <w:rFonts w:hint="eastAsia" w:ascii="宋体" w:hAnsi="宋体" w:cs="宋体"/>
          <w:bCs/>
          <w:kern w:val="0"/>
          <w:sz w:val="24"/>
        </w:rPr>
        <w:t>，如实填报并提交。</w:t>
      </w:r>
    </w:p>
    <w:p w14:paraId="48A66A1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cs="宋体"/>
          <w:bCs/>
          <w:kern w:val="0"/>
          <w:sz w:val="24"/>
        </w:rPr>
      </w:pPr>
      <w:r>
        <w:drawing>
          <wp:inline distT="0" distB="0" distL="114300" distR="114300">
            <wp:extent cx="2380615" cy="2105025"/>
            <wp:effectExtent l="0" t="0" r="63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a:stretch>
                      <a:fillRect/>
                    </a:stretch>
                  </pic:blipFill>
                  <pic:spPr>
                    <a:xfrm>
                      <a:off x="0" y="0"/>
                      <a:ext cx="2380615" cy="2105025"/>
                    </a:xfrm>
                    <a:prstGeom prst="rect">
                      <a:avLst/>
                    </a:prstGeom>
                    <a:noFill/>
                    <a:ln>
                      <a:noFill/>
                    </a:ln>
                  </pic:spPr>
                </pic:pic>
              </a:graphicData>
            </a:graphic>
          </wp:inline>
        </w:drawing>
      </w:r>
    </w:p>
    <w:p w14:paraId="784BEBA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pPr>
      <w:r>
        <w:drawing>
          <wp:inline distT="0" distB="0" distL="114300" distR="114300">
            <wp:extent cx="5199380" cy="2242185"/>
            <wp:effectExtent l="0" t="0" r="12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199380" cy="2242185"/>
                    </a:xfrm>
                    <a:prstGeom prst="rect">
                      <a:avLst/>
                    </a:prstGeom>
                    <a:noFill/>
                    <a:ln>
                      <a:noFill/>
                    </a:ln>
                  </pic:spPr>
                </pic:pic>
              </a:graphicData>
            </a:graphic>
          </wp:inline>
        </w:drawing>
      </w:r>
    </w:p>
    <w:p w14:paraId="351019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
          <w:bCs w:val="0"/>
          <w:kern w:val="0"/>
          <w:sz w:val="24"/>
          <w:lang w:val="en-US" w:eastAsia="zh-CN"/>
        </w:rPr>
      </w:pPr>
      <w:r>
        <w:rPr>
          <w:rFonts w:hint="eastAsia" w:ascii="宋体" w:hAnsi="宋体" w:cs="宋体"/>
          <w:bCs/>
          <w:kern w:val="0"/>
          <w:sz w:val="24"/>
          <w:lang w:val="en-US" w:eastAsia="zh-CN"/>
        </w:rPr>
        <w:t>（1）</w:t>
      </w:r>
      <w:r>
        <w:rPr>
          <w:rFonts w:hint="eastAsia" w:ascii="宋体" w:hAnsi="宋体" w:cs="宋体"/>
          <w:b/>
          <w:bCs w:val="0"/>
          <w:kern w:val="0"/>
          <w:sz w:val="24"/>
          <w:lang w:val="en-US" w:eastAsia="zh-CN"/>
        </w:rPr>
        <w:t>本校参赛代码为：202410061019369544</w:t>
      </w:r>
    </w:p>
    <w:p w14:paraId="57EBF2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Cs/>
          <w:kern w:val="0"/>
          <w:sz w:val="24"/>
          <w:lang w:val="en-US" w:eastAsia="zh-CN"/>
        </w:rPr>
      </w:pPr>
      <w:r>
        <w:rPr>
          <w:rFonts w:hint="eastAsia" w:ascii="宋体" w:hAnsi="宋体" w:cs="宋体"/>
          <w:bCs/>
          <w:kern w:val="0"/>
          <w:sz w:val="24"/>
          <w:lang w:val="en-US" w:eastAsia="zh-CN"/>
        </w:rPr>
        <w:t>（2）参赛学生务必选择好自己所在的参赛组别，否则视为无效信息。</w:t>
      </w:r>
    </w:p>
    <w:p w14:paraId="153F74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r>
        <w:rPr>
          <w:rFonts w:hint="eastAsia" w:ascii="宋体" w:hAnsi="宋体" w:cs="宋体"/>
          <w:bCs/>
          <w:kern w:val="0"/>
          <w:sz w:val="24"/>
          <w:lang w:val="en-US" w:eastAsia="zh-CN"/>
        </w:rPr>
        <w:t>（3）在输入手机号码时，请务必输入真实有效且能够正常使用的手机号码。本科组学生登录网考系统时，需要输入本人手机号码和手机接收到的短信验证码才能进入网考页面。所有组别登录省赛及国赛系统也将以此手机号码注册并登录。</w:t>
      </w:r>
    </w:p>
    <w:p w14:paraId="71A811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宋体" w:hAnsi="宋体" w:cs="宋体"/>
          <w:bCs/>
          <w:kern w:val="0"/>
          <w:sz w:val="24"/>
          <w:lang w:val="en-US" w:eastAsia="zh-CN"/>
        </w:rPr>
      </w:pPr>
      <w:r>
        <w:rPr>
          <w:rFonts w:hint="default" w:ascii="宋体" w:hAnsi="宋体" w:cs="宋体"/>
          <w:bCs/>
          <w:kern w:val="0"/>
          <w:sz w:val="24"/>
          <w:lang w:val="en-US" w:eastAsia="zh-CN"/>
        </w:rPr>
        <w:t>（4）在读年级填写大一/大二/大三/大四。</w:t>
      </w:r>
    </w:p>
    <w:p w14:paraId="2D9F1D54">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lang w:val="en-US" w:eastAsia="zh-CN"/>
        </w:rPr>
      </w:pPr>
    </w:p>
    <w:p w14:paraId="18511D40">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eastAsia="宋体"/>
          <w:b/>
          <w:sz w:val="24"/>
          <w:highlight w:val="yellow"/>
          <w:lang w:eastAsia="zh-CN"/>
        </w:rPr>
      </w:pPr>
      <w:r>
        <w:rPr>
          <w:rFonts w:hint="eastAsia" w:ascii="宋体" w:hAnsi="宋体"/>
          <w:b/>
          <w:sz w:val="24"/>
          <w:highlight w:val="yellow"/>
          <w:lang w:val="en-US" w:eastAsia="zh-CN"/>
        </w:rPr>
        <w:t>二</w:t>
      </w:r>
      <w:r>
        <w:rPr>
          <w:rFonts w:hint="eastAsia" w:ascii="宋体" w:hAnsi="宋体"/>
          <w:b/>
          <w:sz w:val="24"/>
          <w:highlight w:val="yellow"/>
        </w:rPr>
        <w:t>、</w:t>
      </w:r>
      <w:r>
        <w:rPr>
          <w:rFonts w:hint="eastAsia" w:ascii="宋体" w:hAnsi="宋体"/>
          <w:b/>
          <w:sz w:val="24"/>
          <w:highlight w:val="yellow"/>
          <w:lang w:val="en-US" w:eastAsia="zh-CN"/>
        </w:rPr>
        <w:t>缴费</w:t>
      </w:r>
    </w:p>
    <w:p w14:paraId="1ABF9F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r>
        <w:rPr>
          <w:rFonts w:hint="eastAsia" w:ascii="宋体" w:hAnsi="宋体" w:cs="宋体"/>
          <w:bCs/>
          <w:kern w:val="0"/>
          <w:sz w:val="24"/>
          <w:lang w:val="en-US" w:eastAsia="zh-CN"/>
        </w:rPr>
        <w:t>学生报名结束后，网考报名费（30元/人）将由学校统一支付。</w:t>
      </w:r>
    </w:p>
    <w:p w14:paraId="359711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cs="宋体"/>
          <w:bCs/>
          <w:kern w:val="0"/>
          <w:sz w:val="24"/>
          <w:lang w:val="en-US" w:eastAsia="zh-CN"/>
        </w:rPr>
      </w:pPr>
    </w:p>
    <w:p w14:paraId="21AB8ECF">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r>
        <w:rPr>
          <w:rFonts w:hint="eastAsia" w:ascii="宋体" w:hAnsi="宋体"/>
          <w:b/>
          <w:sz w:val="24"/>
          <w:highlight w:val="yellow"/>
          <w:lang w:val="en-US" w:eastAsia="zh-CN"/>
        </w:rPr>
        <w:t>三、</w:t>
      </w:r>
      <w:r>
        <w:rPr>
          <w:rFonts w:hint="eastAsia" w:ascii="宋体" w:hAnsi="宋体"/>
          <w:b/>
          <w:sz w:val="24"/>
          <w:highlight w:val="yellow"/>
        </w:rPr>
        <w:t>加入参赛</w:t>
      </w:r>
      <w:r>
        <w:rPr>
          <w:rFonts w:hint="eastAsia" w:ascii="宋体" w:hAnsi="宋体"/>
          <w:b/>
          <w:sz w:val="24"/>
          <w:highlight w:val="yellow"/>
          <w:lang w:val="en-US" w:eastAsia="zh-CN"/>
        </w:rPr>
        <w:t>钉钉</w:t>
      </w:r>
      <w:r>
        <w:rPr>
          <w:rFonts w:hint="eastAsia" w:ascii="宋体" w:hAnsi="宋体"/>
          <w:b/>
          <w:sz w:val="24"/>
          <w:highlight w:val="yellow"/>
        </w:rPr>
        <w:t>群</w:t>
      </w:r>
    </w:p>
    <w:p w14:paraId="72A425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lang w:val="en-US" w:eastAsia="zh-CN"/>
        </w:rPr>
        <w:drawing>
          <wp:inline distT="0" distB="0" distL="114300" distR="114300">
            <wp:extent cx="3278505" cy="4131945"/>
            <wp:effectExtent l="0" t="0" r="7620" b="1905"/>
            <wp:docPr id="6" name="图片 6" descr="a0372d8d68ff861cf904359a0d14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372d8d68ff861cf904359a0d14be3"/>
                    <pic:cNvPicPr>
                      <a:picLocks noChangeAspect="1"/>
                    </pic:cNvPicPr>
                  </pic:nvPicPr>
                  <pic:blipFill>
                    <a:blip r:embed="rId8"/>
                    <a:stretch>
                      <a:fillRect/>
                    </a:stretch>
                  </pic:blipFill>
                  <pic:spPr>
                    <a:xfrm>
                      <a:off x="0" y="0"/>
                      <a:ext cx="3278505" cy="4131945"/>
                    </a:xfrm>
                    <a:prstGeom prst="rect">
                      <a:avLst/>
                    </a:prstGeom>
                  </pic:spPr>
                </pic:pic>
              </a:graphicData>
            </a:graphic>
          </wp:inline>
        </w:drawing>
      </w:r>
    </w:p>
    <w:p w14:paraId="1E77BF15">
      <w:pPr>
        <w:keepNext w:val="0"/>
        <w:keepLines w:val="0"/>
        <w:pageBreakBefore w:val="0"/>
        <w:widowControl w:val="0"/>
        <w:kinsoku/>
        <w:wordWrap/>
        <w:overflowPunct/>
        <w:topLinePunct w:val="0"/>
        <w:autoSpaceDE/>
        <w:autoSpaceDN/>
        <w:bidi w:val="0"/>
        <w:adjustRightInd/>
        <w:snapToGrid/>
        <w:spacing w:line="360" w:lineRule="auto"/>
        <w:ind w:left="1219" w:right="69" w:rightChars="33" w:hanging="1219" w:hangingChars="506"/>
        <w:jc w:val="left"/>
        <w:textAlignment w:val="auto"/>
        <w:rPr>
          <w:rFonts w:hint="eastAsia" w:ascii="宋体" w:hAnsi="宋体"/>
          <w:b/>
          <w:sz w:val="24"/>
          <w:highlight w:val="yellow"/>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91BEF7A-EE10-460F-86EF-B59C7BFAA2FD}"/>
  </w:font>
  <w:font w:name="方正仿宋_GB2312">
    <w:panose1 w:val="02000000000000000000"/>
    <w:charset w:val="86"/>
    <w:family w:val="auto"/>
    <w:pitch w:val="default"/>
    <w:sig w:usb0="A00002BF" w:usb1="184F6CFA" w:usb2="00000012" w:usb3="00000000" w:csb0="00040001" w:csb1="00000000"/>
    <w:embedRegular r:id="rId2" w:fontKey="{53D4B180-79FF-450D-B3E0-177E6BF101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lMmY4NjliMTk4MWQ3MDNlZjVhYTBmOTllNjM4N2MifQ=="/>
  </w:docVars>
  <w:rsids>
    <w:rsidRoot w:val="00000000"/>
    <w:rsid w:val="11BA3663"/>
    <w:rsid w:val="23EB16FF"/>
    <w:rsid w:val="26496069"/>
    <w:rsid w:val="3B71189D"/>
    <w:rsid w:val="4367175F"/>
    <w:rsid w:val="4C6657F7"/>
    <w:rsid w:val="6AC76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537</Words>
  <Characters>595</Characters>
  <Lines>0</Lines>
  <Paragraphs>0</Paragraphs>
  <TotalTime>0</TotalTime>
  <ScaleCrop>false</ScaleCrop>
  <LinksUpToDate>false</LinksUpToDate>
  <CharactersWithSpaces>597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2024-10-08T13:22:00Z</dcterms:created>
  <dc:creator>39206</dc:creator>
  <cp:lastModifiedBy>WPS_1553697631</cp:lastModifiedBy>
  <dcterms:modified xsi:type="dcterms:W3CDTF">2024-10-21T03:12:16Z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B280D247503E4065B179ED2379443ECA_12</vt:lpwstr>
  </property>
</Properties>
</file>