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C3DF">
      <w:pPr>
        <w:snapToGrid w:val="0"/>
        <w:spacing w:line="360" w:lineRule="exact"/>
        <w:ind w:firstLine="948" w:firstLineChars="295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1723436A">
      <w:pPr>
        <w:snapToGrid w:val="0"/>
        <w:spacing w:line="360" w:lineRule="exact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3EDE07A9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66D8A32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1FF8EBD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（教务管理系统里对应的课程代码）</w:t>
      </w:r>
    </w:p>
    <w:p w14:paraId="2B7B44B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3307ABCC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 xml:space="preserve">课程类别： </w:t>
      </w:r>
      <w:r>
        <w:rPr>
          <w:rFonts w:hint="eastAsia" w:cs="Times New Roman" w:asciiTheme="minorEastAsia" w:hAnsiTheme="minorEastAsia"/>
          <w:szCs w:val="21"/>
        </w:rPr>
        <w:t>/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FF0000"/>
          <w:szCs w:val="21"/>
        </w:rPr>
        <w:t>（公共课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（通识必修课程、通识选修课程）；专业课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（专业基础课程、专业核心课程、专业选修课程、跨专业融合课程、实践与创新教育课））</w:t>
      </w:r>
    </w:p>
    <w:p w14:paraId="485674FF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/  ,其中理论教学（学分/学时）：  /  ；实验/实践教学（学分/学时）：  /  </w:t>
      </w:r>
    </w:p>
    <w:p w14:paraId="37D323D8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3A12DAB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</w:t>
      </w:r>
      <w:r>
        <w:rPr>
          <w:rFonts w:cs="Times New Roman" w:asciiTheme="minorEastAsia" w:hAnsiTheme="minorEastAsia"/>
          <w:szCs w:val="21"/>
        </w:rPr>
        <w:t>先修课程：</w:t>
      </w:r>
    </w:p>
    <w:p w14:paraId="005CFEF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7.</w:t>
      </w:r>
      <w:r>
        <w:rPr>
          <w:rFonts w:cs="Times New Roman" w:asciiTheme="minorEastAsia" w:hAnsiTheme="minorEastAsia"/>
          <w:szCs w:val="21"/>
        </w:rPr>
        <w:t>后</w:t>
      </w:r>
      <w:r>
        <w:rPr>
          <w:rFonts w:hint="eastAsia" w:cs="Times New Roman" w:asciiTheme="minorEastAsia" w:hAnsiTheme="minorEastAsia"/>
          <w:szCs w:val="21"/>
        </w:rPr>
        <w:t>续</w:t>
      </w:r>
      <w:r>
        <w:rPr>
          <w:rFonts w:cs="Times New Roman" w:asciiTheme="minorEastAsia" w:hAnsiTheme="minorEastAsia"/>
          <w:szCs w:val="21"/>
        </w:rPr>
        <w:t>课程：</w:t>
      </w:r>
    </w:p>
    <w:p w14:paraId="0AAD04F9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2AA4786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02AB2B1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BA1311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71E4263D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编写建议：描述本课程对应的毕业要求指标点、课程目标及能力要求。应按照培养方案中“毕业要求-课程体系”对应矩阵撰写。</w:t>
      </w:r>
    </w:p>
    <w:p w14:paraId="589BEF37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7134F0F6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170D015C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根据课程特点和对毕业要求的贡献度</w:t>
      </w:r>
      <w:r>
        <w:rPr>
          <w:rFonts w:hint="eastAsia" w:cs="宋体" w:asciiTheme="minorEastAsia" w:hAnsiTheme="minorEastAsia"/>
          <w:szCs w:val="21"/>
        </w:rPr>
        <w:t>，</w:t>
      </w:r>
      <w:r>
        <w:rPr>
          <w:rFonts w:cs="宋体" w:asciiTheme="minorEastAsia" w:hAnsiTheme="minorEastAsia"/>
          <w:szCs w:val="21"/>
        </w:rPr>
        <w:t>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68F9E0C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55319254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C77E6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2548FFC0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7C88236A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以上课程目标与毕业要求指标点的对应关系如表</w:t>
      </w:r>
      <w:r>
        <w:rPr>
          <w:rFonts w:hint="eastAsia" w:cs="Times New Roman" w:asciiTheme="minorEastAsia" w:hAnsiTheme="minorEastAsia"/>
          <w:szCs w:val="21"/>
        </w:rPr>
        <w:t>3-</w:t>
      </w:r>
      <w:r>
        <w:rPr>
          <w:rFonts w:cs="Times New Roman" w:asciiTheme="minorEastAsia" w:hAnsiTheme="minorEastAsia"/>
          <w:szCs w:val="21"/>
        </w:rPr>
        <w:t>1所示</w:t>
      </w:r>
      <w:r>
        <w:rPr>
          <w:rFonts w:hint="eastAsia" w:cs="Times New Roman" w:asciiTheme="minorEastAsia" w:hAnsiTheme="minorEastAsia"/>
          <w:szCs w:val="21"/>
        </w:rPr>
        <w:t>：</w:t>
      </w:r>
    </w:p>
    <w:p w14:paraId="3A43136F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5354EBF0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表3-1  课程目标（Course Object，CO）与毕业要求指标点对应关系</w:t>
      </w:r>
    </w:p>
    <w:tbl>
      <w:tblPr>
        <w:tblStyle w:val="7"/>
        <w:tblW w:w="4881" w:type="pct"/>
        <w:tblInd w:w="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75"/>
        <w:gridCol w:w="754"/>
        <w:gridCol w:w="1047"/>
        <w:gridCol w:w="940"/>
        <w:gridCol w:w="963"/>
        <w:gridCol w:w="1281"/>
        <w:gridCol w:w="923"/>
      </w:tblGrid>
      <w:tr w14:paraId="708E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1" w:type="pct"/>
            <w:vAlign w:val="center"/>
          </w:tcPr>
          <w:p w14:paraId="7BEC474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82" w:type="pct"/>
            <w:tcBorders>
              <w:tl2br w:val="single" w:color="auto" w:sz="4" w:space="0"/>
            </w:tcBorders>
            <w:vAlign w:val="center"/>
          </w:tcPr>
          <w:p w14:paraId="32766620">
            <w:pPr>
              <w:spacing w:line="360" w:lineRule="exact"/>
              <w:jc w:val="righ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课程目标</w:t>
            </w:r>
          </w:p>
          <w:p w14:paraId="0338A77B">
            <w:pPr>
              <w:spacing w:line="36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2F7DC299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CO1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F21CF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CO2</w:t>
            </w: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0AB7D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CO3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F911C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CO4</w:t>
            </w: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2D0EA994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570" w:type="pct"/>
            <w:vAlign w:val="center"/>
          </w:tcPr>
          <w:p w14:paraId="268C5468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COj</w:t>
            </w:r>
          </w:p>
        </w:tc>
      </w:tr>
      <w:tr w14:paraId="60B1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3211A6E4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082" w:type="pct"/>
            <w:vAlign w:val="center"/>
          </w:tcPr>
          <w:p w14:paraId="6A3C414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毕业要求1.2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24A159CC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EBD80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8C1E6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36BB2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02776F06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AEAE71D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11C9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1FDDFE1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082" w:type="pct"/>
            <w:vAlign w:val="center"/>
          </w:tcPr>
          <w:p w14:paraId="0382642D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3.1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3C49D6FC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95AB3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97BC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ECA7A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5BAA78D9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5EAF519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3D67D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DFA863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082" w:type="pct"/>
            <w:vAlign w:val="center"/>
          </w:tcPr>
          <w:p w14:paraId="0EFBD8B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6EB53A71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00513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F85D6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E5E1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104BD7FF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48AA03FD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73B6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549BC548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1082" w:type="pct"/>
            <w:vAlign w:val="center"/>
          </w:tcPr>
          <w:p w14:paraId="76EC4A1F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61E487D6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C114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ED5C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B69F1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71EBFCC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054CF094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 w14:paraId="2C97B3FD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四</w:t>
      </w:r>
      <w:r>
        <w:rPr>
          <w:rFonts w:hint="eastAsia" w:cs="Times New Roman" w:asciiTheme="minorEastAsia" w:hAnsiTheme="minorEastAsia"/>
          <w:b/>
          <w:szCs w:val="21"/>
        </w:rPr>
        <w:t>、课程</w:t>
      </w:r>
      <w:r>
        <w:rPr>
          <w:rFonts w:cs="Times New Roman" w:asciiTheme="minorEastAsia" w:hAnsiTheme="minorEastAsia"/>
          <w:b/>
          <w:szCs w:val="21"/>
        </w:rPr>
        <w:t>教</w:t>
      </w:r>
      <w:r>
        <w:rPr>
          <w:rFonts w:hint="eastAsia" w:cs="Times New Roman" w:asciiTheme="minorEastAsia" w:hAnsiTheme="minorEastAsia"/>
          <w:b/>
          <w:szCs w:val="21"/>
        </w:rPr>
        <w:t>学方法和课堂形式实施建议</w:t>
      </w:r>
    </w:p>
    <w:p w14:paraId="52E0B2C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</w:t>
      </w:r>
      <w:r>
        <w:rPr>
          <w:rFonts w:hint="eastAsia" w:cs="Times New Roman" w:asciiTheme="minorEastAsia" w:hAnsiTheme="minorEastAsia"/>
          <w:color w:val="FF0000"/>
          <w:szCs w:val="21"/>
        </w:rPr>
        <w:t>要结合课程特点，按照以学为中心的教学理念，充分体现参与式教学设计，明确课程教学方法和课堂形式。课程教学方法包括</w:t>
      </w:r>
      <w:r>
        <w:rPr>
          <w:rFonts w:cs="Times New Roman" w:asciiTheme="minorEastAsia" w:hAnsiTheme="minorEastAsia"/>
          <w:color w:val="FF0000"/>
          <w:szCs w:val="21"/>
        </w:rPr>
        <w:t>教师讲授、师生研讨、网络教学、分组讨论、实践教学等多种方法</w:t>
      </w:r>
      <w:r>
        <w:rPr>
          <w:rFonts w:hint="eastAsia" w:cs="Times New Roman" w:asciiTheme="minorEastAsia" w:hAnsiTheme="minorEastAsia"/>
          <w:color w:val="FF0000"/>
          <w:szCs w:val="21"/>
        </w:rPr>
        <w:t>；课堂形式包括线下、线上、线上线下混合、翻转课堂、虚拟仿真、案例讨论、实验实训等形式</w:t>
      </w:r>
      <w:r>
        <w:rPr>
          <w:rFonts w:cs="Times New Roman" w:asciiTheme="minorEastAsia" w:hAnsiTheme="minorEastAsia"/>
          <w:color w:val="FF0000"/>
          <w:szCs w:val="21"/>
        </w:rPr>
        <w:t>。（正文：宋体、五号、固定值18磅行距）</w:t>
      </w:r>
    </w:p>
    <w:p w14:paraId="113722CF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五、</w:t>
      </w:r>
      <w:r>
        <w:rPr>
          <w:rFonts w:cs="Times New Roman" w:asciiTheme="minorEastAsia" w:hAnsiTheme="minorEastAsia"/>
          <w:b/>
          <w:szCs w:val="21"/>
        </w:rPr>
        <w:t>课程内容及教学安排</w:t>
      </w:r>
    </w:p>
    <w:p w14:paraId="0B3F209D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课程思政要落实到课程教学环节。</w:t>
      </w:r>
      <w:r>
        <w:rPr>
          <w:rFonts w:cs="Times New Roman" w:asciiTheme="minorEastAsia" w:hAnsiTheme="minorEastAsia"/>
          <w:color w:val="FF0000"/>
          <w:szCs w:val="21"/>
        </w:rPr>
        <w:t>从课程知识单元</w:t>
      </w:r>
      <w:r>
        <w:rPr>
          <w:rFonts w:hint="eastAsia" w:cs="Times New Roman" w:asciiTheme="minorEastAsia" w:hAnsiTheme="minorEastAsia"/>
          <w:color w:val="FF0000"/>
          <w:szCs w:val="21"/>
        </w:rPr>
        <w:t>或</w:t>
      </w:r>
      <w:r>
        <w:rPr>
          <w:rFonts w:hint="eastAsia" w:cs="Times New Roman" w:asciiTheme="minorEastAsia" w:hAnsiTheme="minorEastAsia"/>
          <w:szCs w:val="21"/>
        </w:rPr>
        <w:t>实验（实践）</w:t>
      </w:r>
      <w:r>
        <w:rPr>
          <w:rFonts w:hint="eastAsia" w:cs="Times New Roman" w:asciiTheme="minorEastAsia" w:hAnsiTheme="minorEastAsia"/>
          <w:color w:val="FF0000"/>
          <w:szCs w:val="21"/>
        </w:rPr>
        <w:t>单元</w:t>
      </w:r>
      <w:r>
        <w:rPr>
          <w:rFonts w:cs="Times New Roman" w:asciiTheme="minorEastAsia" w:hAnsiTheme="minorEastAsia"/>
          <w:color w:val="FF0000"/>
          <w:szCs w:val="21"/>
        </w:rPr>
        <w:t>、教学内容（知识点）、</w:t>
      </w:r>
      <w:r>
        <w:rPr>
          <w:rFonts w:hint="eastAsia" w:cs="Times New Roman" w:asciiTheme="minorEastAsia" w:hAnsiTheme="minorEastAsia"/>
          <w:color w:val="FF0000"/>
          <w:szCs w:val="21"/>
        </w:rPr>
        <w:t>教学</w:t>
      </w:r>
      <w:r>
        <w:rPr>
          <w:rFonts w:cs="Times New Roman" w:asciiTheme="minorEastAsia" w:hAnsiTheme="minorEastAsia"/>
          <w:color w:val="FF0000"/>
          <w:szCs w:val="21"/>
        </w:rPr>
        <w:t>目标（</w:t>
      </w:r>
      <w:r>
        <w:rPr>
          <w:rFonts w:hint="eastAsia" w:cs="Times New Roman" w:asciiTheme="minorEastAsia" w:hAnsiTheme="minorEastAsia"/>
          <w:color w:val="FF0000"/>
          <w:szCs w:val="21"/>
        </w:rPr>
        <w:t>含思政目标</w:t>
      </w:r>
      <w:r>
        <w:rPr>
          <w:rFonts w:cs="Times New Roman" w:asciiTheme="minorEastAsia" w:hAnsiTheme="minorEastAsia"/>
          <w:color w:val="FF0000"/>
          <w:szCs w:val="21"/>
        </w:rPr>
        <w:t>）、</w:t>
      </w:r>
      <w:r>
        <w:rPr>
          <w:rFonts w:hint="eastAsia" w:cs="Times New Roman" w:asciiTheme="minorEastAsia" w:hAnsiTheme="minorEastAsia"/>
          <w:color w:val="FF0000"/>
          <w:szCs w:val="21"/>
        </w:rPr>
        <w:t>对应课程目标</w:t>
      </w:r>
      <w:r>
        <w:rPr>
          <w:rFonts w:cs="Times New Roman" w:asciiTheme="minorEastAsia" w:hAnsiTheme="minorEastAsia"/>
          <w:color w:val="FF0000"/>
          <w:szCs w:val="21"/>
        </w:rPr>
        <w:t>、学时分配等方面撰写。</w:t>
      </w:r>
      <w:r>
        <w:rPr>
          <w:rFonts w:hint="eastAsia" w:cs="Times New Roman" w:asciiTheme="minorEastAsia" w:hAnsiTheme="minorEastAsia"/>
          <w:color w:val="FF0000"/>
          <w:szCs w:val="21"/>
        </w:rPr>
        <w:t>如果课程无实践环节（周学时为X-0型课程，即纯理论型课程），则无需撰写表5-2，可删除相关格式内容；如果课程既有理论学时又有实践环节，则表5-1、5-2均需填写。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0FD2F078">
      <w:pPr>
        <w:adjustRightInd w:val="0"/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5</w:t>
      </w:r>
      <w:r>
        <w:rPr>
          <w:rFonts w:cs="Times New Roman" w:asciiTheme="minorEastAsia" w:hAnsiTheme="minorEastAsia"/>
          <w:b/>
          <w:color w:val="000000"/>
          <w:szCs w:val="21"/>
        </w:rPr>
        <w:t>-1 课程知识单元、教学内容（知识点）、课程目标及学时分配对应关系</w:t>
      </w:r>
    </w:p>
    <w:tbl>
      <w:tblPr>
        <w:tblStyle w:val="8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65"/>
        <w:gridCol w:w="3223"/>
        <w:gridCol w:w="850"/>
        <w:gridCol w:w="886"/>
      </w:tblGrid>
      <w:tr w14:paraId="51C3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 w14:paraId="70E399D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知识</w:t>
            </w:r>
          </w:p>
          <w:p w14:paraId="2A5FDF5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单元</w:t>
            </w:r>
          </w:p>
        </w:tc>
        <w:tc>
          <w:tcPr>
            <w:tcW w:w="3987" w:type="dxa"/>
          </w:tcPr>
          <w:p w14:paraId="3B0906B2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教学内容（知识点）</w:t>
            </w:r>
          </w:p>
        </w:tc>
        <w:tc>
          <w:tcPr>
            <w:tcW w:w="5650" w:type="dxa"/>
          </w:tcPr>
          <w:p w14:paraId="6452A391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教学目标（含思政目标）</w:t>
            </w:r>
          </w:p>
        </w:tc>
        <w:tc>
          <w:tcPr>
            <w:tcW w:w="1150" w:type="dxa"/>
          </w:tcPr>
          <w:p w14:paraId="5159E7C3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对应课程目标</w:t>
            </w:r>
          </w:p>
        </w:tc>
        <w:tc>
          <w:tcPr>
            <w:tcW w:w="1315" w:type="dxa"/>
          </w:tcPr>
          <w:p w14:paraId="1ED235E7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学时</w:t>
            </w:r>
          </w:p>
          <w:p w14:paraId="011D07E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分配</w:t>
            </w:r>
          </w:p>
        </w:tc>
      </w:tr>
      <w:tr w14:paraId="307F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restart"/>
          </w:tcPr>
          <w:p w14:paraId="5D1B719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Hlk160558587"/>
            <w:r>
              <w:rPr>
                <w:rFonts w:hint="eastAsia" w:cs="Times New Roman" w:asciiTheme="minorEastAsia" w:hAnsiTheme="minorEastAsia"/>
                <w:szCs w:val="21"/>
              </w:rPr>
              <w:t>第一章</w:t>
            </w:r>
          </w:p>
        </w:tc>
        <w:tc>
          <w:tcPr>
            <w:tcW w:w="3987" w:type="dxa"/>
          </w:tcPr>
          <w:p w14:paraId="00E2C70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16FAA22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5650" w:type="dxa"/>
            <w:vMerge w:val="restart"/>
          </w:tcPr>
          <w:p w14:paraId="282B6BA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24CD3DC5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315" w:type="dxa"/>
            <w:vMerge w:val="restart"/>
          </w:tcPr>
          <w:p w14:paraId="70C77FD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CCE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continue"/>
          </w:tcPr>
          <w:p w14:paraId="2D4D121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87" w:type="dxa"/>
          </w:tcPr>
          <w:p w14:paraId="00BBB65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5650" w:type="dxa"/>
            <w:vMerge w:val="continue"/>
          </w:tcPr>
          <w:p w14:paraId="3C4F64C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continue"/>
          </w:tcPr>
          <w:p w14:paraId="4CDAD89A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15" w:type="dxa"/>
            <w:vMerge w:val="continue"/>
          </w:tcPr>
          <w:p w14:paraId="02B45FD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CB1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8" w:type="dxa"/>
            <w:vMerge w:val="continue"/>
          </w:tcPr>
          <w:p w14:paraId="7ADA2F5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87" w:type="dxa"/>
          </w:tcPr>
          <w:p w14:paraId="1F56978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5650" w:type="dxa"/>
            <w:vMerge w:val="continue"/>
          </w:tcPr>
          <w:p w14:paraId="57FF48F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continue"/>
          </w:tcPr>
          <w:p w14:paraId="779E22E9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15" w:type="dxa"/>
            <w:vMerge w:val="continue"/>
          </w:tcPr>
          <w:p w14:paraId="08AE2AE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bookmarkEnd w:id="0"/>
      <w:tr w14:paraId="01AD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restart"/>
          </w:tcPr>
          <w:p w14:paraId="5F3B91F4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第二章</w:t>
            </w:r>
          </w:p>
        </w:tc>
        <w:tc>
          <w:tcPr>
            <w:tcW w:w="3987" w:type="dxa"/>
          </w:tcPr>
          <w:p w14:paraId="0B5B1F9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41D70D6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5650" w:type="dxa"/>
            <w:vMerge w:val="restart"/>
          </w:tcPr>
          <w:p w14:paraId="722977A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3BDF9EE7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315" w:type="dxa"/>
            <w:vMerge w:val="restart"/>
          </w:tcPr>
          <w:p w14:paraId="0CDFD2F9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E01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continue"/>
          </w:tcPr>
          <w:p w14:paraId="6E7453F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87" w:type="dxa"/>
          </w:tcPr>
          <w:p w14:paraId="7FC5033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5650" w:type="dxa"/>
            <w:vMerge w:val="continue"/>
          </w:tcPr>
          <w:p w14:paraId="44185A0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continue"/>
          </w:tcPr>
          <w:p w14:paraId="75426F5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15" w:type="dxa"/>
            <w:vMerge w:val="continue"/>
          </w:tcPr>
          <w:p w14:paraId="10B5802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4DE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dxa"/>
            <w:vMerge w:val="continue"/>
          </w:tcPr>
          <w:p w14:paraId="48F6D62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87" w:type="dxa"/>
          </w:tcPr>
          <w:p w14:paraId="4081F24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5650" w:type="dxa"/>
            <w:vMerge w:val="continue"/>
          </w:tcPr>
          <w:p w14:paraId="54386768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continue"/>
          </w:tcPr>
          <w:p w14:paraId="12E3E3EA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15" w:type="dxa"/>
            <w:vMerge w:val="continue"/>
          </w:tcPr>
          <w:p w14:paraId="4BAB476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CA7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restart"/>
          </w:tcPr>
          <w:p w14:paraId="757091D9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第三章</w:t>
            </w:r>
          </w:p>
        </w:tc>
        <w:tc>
          <w:tcPr>
            <w:tcW w:w="3987" w:type="dxa"/>
          </w:tcPr>
          <w:p w14:paraId="7A98154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377486A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5650" w:type="dxa"/>
            <w:vMerge w:val="restart"/>
          </w:tcPr>
          <w:p w14:paraId="0C5F84E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477939A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315" w:type="dxa"/>
            <w:vMerge w:val="restart"/>
          </w:tcPr>
          <w:p w14:paraId="10A6737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0C0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dxa"/>
            <w:vMerge w:val="continue"/>
          </w:tcPr>
          <w:p w14:paraId="27EB1A1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987" w:type="dxa"/>
          </w:tcPr>
          <w:p w14:paraId="0154AFB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5650" w:type="dxa"/>
            <w:vMerge w:val="continue"/>
          </w:tcPr>
          <w:p w14:paraId="28E68EC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50" w:type="dxa"/>
            <w:vMerge w:val="continue"/>
          </w:tcPr>
          <w:p w14:paraId="3000F73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15" w:type="dxa"/>
            <w:vMerge w:val="continue"/>
          </w:tcPr>
          <w:p w14:paraId="301996F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3C1F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continue"/>
          </w:tcPr>
          <w:p w14:paraId="5698CE9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987" w:type="dxa"/>
          </w:tcPr>
          <w:p w14:paraId="3F39747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5650" w:type="dxa"/>
            <w:vMerge w:val="continue"/>
          </w:tcPr>
          <w:p w14:paraId="1A366A6D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50" w:type="dxa"/>
            <w:vMerge w:val="continue"/>
          </w:tcPr>
          <w:p w14:paraId="349DA5F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15" w:type="dxa"/>
            <w:vMerge w:val="continue"/>
          </w:tcPr>
          <w:p w14:paraId="1EF51B2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</w:tbl>
    <w:p w14:paraId="169543C4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注：</w:t>
      </w:r>
      <w:r>
        <w:rPr>
          <w:rFonts w:hint="eastAsia" w:cs="Times New Roman" w:asciiTheme="minorEastAsia" w:hAnsiTheme="minorEastAsia"/>
          <w:szCs w:val="21"/>
        </w:rPr>
        <w:t>1.知识点及要求须通过“了解”、“熟悉”、“掌握”等词汇来描述；</w:t>
      </w:r>
    </w:p>
    <w:p w14:paraId="221D93B4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bookmarkStart w:id="1" w:name="_Hlk166060634"/>
      <w:bookmarkStart w:id="2" w:name="_Hlk166062893"/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5</w:t>
      </w:r>
      <w:r>
        <w:rPr>
          <w:rFonts w:cs="Times New Roman" w:asciiTheme="minorEastAsia" w:hAnsiTheme="minorEastAsia"/>
          <w:b/>
          <w:color w:val="000000"/>
          <w:szCs w:val="21"/>
        </w:rPr>
        <w:t xml:space="preserve">-2 </w:t>
      </w:r>
      <w:bookmarkStart w:id="3" w:name="_Hlk165272189"/>
      <w:bookmarkStart w:id="4" w:name="_Hlk165579337"/>
      <w:r>
        <w:rPr>
          <w:rFonts w:hint="eastAsia" w:cs="Times New Roman" w:asciiTheme="minorEastAsia" w:hAnsiTheme="minorEastAsia"/>
          <w:b/>
          <w:color w:val="000000"/>
          <w:szCs w:val="21"/>
        </w:rPr>
        <w:t>实验（实践）单元、教学内容、教学目标、课程目标、类型、要求及学时分配</w:t>
      </w:r>
    </w:p>
    <w:p w14:paraId="393793D4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对应关系</w:t>
      </w:r>
      <w:bookmarkEnd w:id="3"/>
    </w:p>
    <w:bookmarkEnd w:id="4"/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843"/>
        <w:gridCol w:w="709"/>
        <w:gridCol w:w="1134"/>
        <w:gridCol w:w="1134"/>
        <w:gridCol w:w="708"/>
      </w:tblGrid>
      <w:tr w14:paraId="504B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2DE681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5" w:name="_Hlk165579906"/>
            <w:bookmarkStart w:id="6" w:name="_Hlk165579603"/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2B2EAC87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（实践）单元</w:t>
            </w:r>
          </w:p>
        </w:tc>
        <w:tc>
          <w:tcPr>
            <w:tcW w:w="1843" w:type="dxa"/>
          </w:tcPr>
          <w:p w14:paraId="66DAB1E5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教学内容</w:t>
            </w:r>
          </w:p>
          <w:p w14:paraId="389D7C81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（知识点）</w:t>
            </w:r>
          </w:p>
        </w:tc>
        <w:tc>
          <w:tcPr>
            <w:tcW w:w="1843" w:type="dxa"/>
          </w:tcPr>
          <w:p w14:paraId="4691DBEA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教学目标</w:t>
            </w:r>
          </w:p>
          <w:p w14:paraId="0CBE22F4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（含课程思政）</w:t>
            </w:r>
          </w:p>
        </w:tc>
        <w:tc>
          <w:tcPr>
            <w:tcW w:w="709" w:type="dxa"/>
          </w:tcPr>
          <w:p w14:paraId="754FA60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对应课程目标</w:t>
            </w:r>
          </w:p>
        </w:tc>
        <w:tc>
          <w:tcPr>
            <w:tcW w:w="1134" w:type="dxa"/>
          </w:tcPr>
          <w:p w14:paraId="118F420A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581603A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</w:t>
            </w:r>
          </w:p>
          <w:p w14:paraId="0BA268D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1134" w:type="dxa"/>
          </w:tcPr>
          <w:p w14:paraId="469DA07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</w:t>
            </w:r>
          </w:p>
          <w:p w14:paraId="48FAAC17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（实践）</w:t>
            </w:r>
          </w:p>
          <w:p w14:paraId="709DB0D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</w:tcPr>
          <w:p w14:paraId="6C95F7A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学时分配</w:t>
            </w:r>
          </w:p>
        </w:tc>
      </w:tr>
      <w:tr w14:paraId="41F1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00F0D2A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实验（实践）一</w:t>
            </w:r>
          </w:p>
        </w:tc>
        <w:tc>
          <w:tcPr>
            <w:tcW w:w="1843" w:type="dxa"/>
          </w:tcPr>
          <w:p w14:paraId="31CF1D3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71A00C0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23F9B64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D39D1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14:paraId="7A3E2B28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3E0A996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37AB4E8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3091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588D6E6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44D13DFC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2A43BAD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363E98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B03B47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482E344F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2F998BB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186B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4895402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20C9FA5F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7F96D3D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48F9C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02A41780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6C263DC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121DB313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1209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7457A702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实验（实践）二</w:t>
            </w:r>
          </w:p>
        </w:tc>
        <w:tc>
          <w:tcPr>
            <w:tcW w:w="1843" w:type="dxa"/>
          </w:tcPr>
          <w:p w14:paraId="61AEEA4A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0E5F0EC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6FC5848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779683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134" w:type="dxa"/>
            <w:vMerge w:val="restart"/>
          </w:tcPr>
          <w:p w14:paraId="57A0AD1F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4A1E6A9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0BECAF2D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3ED4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01A8A63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3DFC7E1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1A7D2AF8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EE6346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707511C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56371E1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1B8B01E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660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7C25790C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44A1B8A5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0B35726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719DF3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4DC53B48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280285A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2998CD74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695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59A71C5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实验（实践）三</w:t>
            </w:r>
          </w:p>
        </w:tc>
        <w:tc>
          <w:tcPr>
            <w:tcW w:w="1843" w:type="dxa"/>
          </w:tcPr>
          <w:p w14:paraId="7AF82E0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1E0B4B6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1843" w:type="dxa"/>
            <w:vMerge w:val="restart"/>
          </w:tcPr>
          <w:p w14:paraId="3258FF3F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44D04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14:paraId="39F71D1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5822F6E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5066108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bookmarkEnd w:id="5"/>
      <w:tr w14:paraId="5DE9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42FEBF8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1D7C62C9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1843" w:type="dxa"/>
            <w:vMerge w:val="continue"/>
          </w:tcPr>
          <w:p w14:paraId="47E67CC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704CD9B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4F4A41DD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6ECD8E3A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8" w:type="dxa"/>
            <w:vMerge w:val="continue"/>
          </w:tcPr>
          <w:p w14:paraId="5ED64A31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8C8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56AB125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7BEA5BA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1843" w:type="dxa"/>
            <w:vMerge w:val="continue"/>
          </w:tcPr>
          <w:p w14:paraId="68CB18A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27D38E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 w14:paraId="28FCA9EC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continue"/>
          </w:tcPr>
          <w:p w14:paraId="000F787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 w14:paraId="6C8D0368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bookmarkEnd w:id="1"/>
      <w:bookmarkEnd w:id="6"/>
    </w:tbl>
    <w:p w14:paraId="0603FA9F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注：</w:t>
      </w:r>
      <w:bookmarkStart w:id="7" w:name="_Hlk165581496"/>
      <w:r>
        <w:rPr>
          <w:rFonts w:hint="eastAsia" w:cs="Times New Roman" w:asciiTheme="minorEastAsia" w:hAnsiTheme="minorEastAsia"/>
          <w:szCs w:val="21"/>
        </w:rPr>
        <w:t>1.知识点及要求须通过“了解”、“熟悉”、“掌握”等词汇来描述；</w:t>
      </w:r>
    </w:p>
    <w:p w14:paraId="61B24D9F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实验</w:t>
      </w:r>
      <w:r>
        <w:rPr>
          <w:rFonts w:hint="eastAsia" w:cs="Times New Roman" w:asciiTheme="minorEastAsia" w:hAnsiTheme="minorEastAsia"/>
          <w:szCs w:val="21"/>
        </w:rPr>
        <w:t>（实践）</w:t>
      </w:r>
      <w:r>
        <w:rPr>
          <w:rFonts w:cs="Times New Roman" w:asciiTheme="minorEastAsia" w:hAnsiTheme="minorEastAsia"/>
          <w:szCs w:val="21"/>
        </w:rPr>
        <w:t>类型包括演示性、验证性、综合性、设计性、研究性等；</w:t>
      </w:r>
    </w:p>
    <w:p w14:paraId="1058BEE1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实验（实践）</w:t>
      </w:r>
      <w:r>
        <w:rPr>
          <w:rFonts w:cs="Times New Roman" w:asciiTheme="minorEastAsia" w:hAnsiTheme="minorEastAsia"/>
          <w:szCs w:val="21"/>
        </w:rPr>
        <w:t>要求包括必做、选做。</w:t>
      </w:r>
    </w:p>
    <w:bookmarkEnd w:id="2"/>
    <w:bookmarkEnd w:id="7"/>
    <w:p w14:paraId="379F89B7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</w:t>
      </w:r>
      <w:r>
        <w:rPr>
          <w:rFonts w:cs="Times New Roman" w:asciiTheme="minorEastAsia" w:hAnsiTheme="minorEastAsia"/>
          <w:b/>
          <w:szCs w:val="21"/>
        </w:rPr>
        <w:t>课程考核方式</w:t>
      </w:r>
    </w:p>
    <w:p w14:paraId="7E73125C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课程思政要落实到考核环节。</w:t>
      </w:r>
      <w:r>
        <w:rPr>
          <w:rFonts w:cs="Times New Roman" w:asciiTheme="minorEastAsia" w:hAnsiTheme="minorEastAsia"/>
          <w:color w:val="FF0000"/>
          <w:szCs w:val="21"/>
        </w:rPr>
        <w:t>规范课程考核形式</w:t>
      </w:r>
      <w:r>
        <w:rPr>
          <w:rFonts w:hint="eastAsia" w:cs="Times New Roman" w:asciiTheme="minorEastAsia" w:hAnsiTheme="minorEastAsia"/>
          <w:color w:val="FF0000"/>
          <w:szCs w:val="21"/>
        </w:rPr>
        <w:t>、</w:t>
      </w:r>
      <w:r>
        <w:rPr>
          <w:rFonts w:cs="Times New Roman" w:asciiTheme="minorEastAsia" w:hAnsiTheme="minorEastAsia"/>
          <w:color w:val="FF0000"/>
          <w:szCs w:val="21"/>
        </w:rPr>
        <w:t>成绩</w:t>
      </w:r>
      <w:r>
        <w:rPr>
          <w:rFonts w:hint="eastAsia" w:cs="Times New Roman" w:asciiTheme="minorEastAsia" w:hAnsiTheme="minorEastAsia"/>
          <w:color w:val="FF0000"/>
          <w:szCs w:val="21"/>
        </w:rPr>
        <w:t>计分</w:t>
      </w:r>
      <w:r>
        <w:rPr>
          <w:rFonts w:cs="Times New Roman" w:asciiTheme="minorEastAsia" w:hAnsiTheme="minorEastAsia"/>
          <w:color w:val="FF0000"/>
          <w:szCs w:val="21"/>
        </w:rPr>
        <w:t>方式</w:t>
      </w:r>
      <w:r>
        <w:rPr>
          <w:rFonts w:hint="eastAsia" w:cs="Times New Roman" w:asciiTheme="minorEastAsia" w:hAnsiTheme="minorEastAsia"/>
          <w:color w:val="FF0000"/>
          <w:szCs w:val="21"/>
        </w:rPr>
        <w:t>，明确考核点支撑课程目标关系、考核评分标准。</w:t>
      </w:r>
      <w:r>
        <w:rPr>
          <w:rFonts w:cs="Times New Roman" w:asciiTheme="minorEastAsia" w:hAnsiTheme="minorEastAsia"/>
          <w:color w:val="FF0000"/>
          <w:szCs w:val="21"/>
        </w:rPr>
        <w:t>课程考核</w:t>
      </w:r>
      <w:r>
        <w:rPr>
          <w:rFonts w:hint="eastAsia" w:cs="Times New Roman" w:asciiTheme="minorEastAsia" w:hAnsiTheme="minorEastAsia"/>
          <w:color w:val="FF0000"/>
          <w:szCs w:val="21"/>
        </w:rPr>
        <w:t>注重</w:t>
      </w:r>
      <w:r>
        <w:rPr>
          <w:rFonts w:cs="Times New Roman" w:asciiTheme="minorEastAsia" w:hAnsiTheme="minorEastAsia"/>
          <w:color w:val="FF0000"/>
          <w:szCs w:val="21"/>
        </w:rPr>
        <w:t>形成性评价，教师应注重与学生的交流与探讨，阶段性地对学生学习状况给出评价。（正文：宋体、五号、固定值18磅行距）</w:t>
      </w:r>
    </w:p>
    <w:p w14:paraId="1F944E4E">
      <w:pPr>
        <w:spacing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1.</w:t>
      </w:r>
      <w:r>
        <w:rPr>
          <w:rFonts w:cs="Times New Roman" w:asciiTheme="minorEastAsia" w:hAnsiTheme="minorEastAsia"/>
          <w:b/>
          <w:szCs w:val="21"/>
        </w:rPr>
        <w:t>总评计分制：</w:t>
      </w:r>
      <w:r>
        <w:rPr>
          <w:rFonts w:cs="Times New Roman" w:asciiTheme="minorEastAsia" w:hAnsiTheme="minorEastAsia"/>
          <w:szCs w:val="21"/>
        </w:rPr>
        <w:t>百分制</w:t>
      </w:r>
    </w:p>
    <w:p w14:paraId="178CDBFB">
      <w:pPr>
        <w:spacing w:after="78" w:afterLines="25"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2.</w:t>
      </w:r>
      <w:r>
        <w:rPr>
          <w:rFonts w:cs="Times New Roman" w:asciiTheme="minorEastAsia" w:hAnsiTheme="minorEastAsia"/>
          <w:b/>
          <w:szCs w:val="21"/>
        </w:rPr>
        <w:t>考核方式：</w:t>
      </w:r>
      <w:r>
        <w:rPr>
          <w:rFonts w:cs="Times New Roman" w:asciiTheme="minorEastAsia" w:hAnsiTheme="minorEastAsia"/>
          <w:color w:val="FF0000"/>
          <w:szCs w:val="21"/>
        </w:rPr>
        <w:t>考试（开卷考/闭卷考）或考查（大作业等形式）</w:t>
      </w:r>
    </w:p>
    <w:p w14:paraId="11DFF744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3.</w:t>
      </w:r>
      <w:r>
        <w:rPr>
          <w:rFonts w:cs="Times New Roman" w:asciiTheme="minorEastAsia" w:hAnsiTheme="minorEastAsia"/>
          <w:b/>
          <w:szCs w:val="21"/>
        </w:rPr>
        <w:t>考核点支撑课程目标关系</w:t>
      </w:r>
    </w:p>
    <w:p w14:paraId="581D9F54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表6-</w:t>
      </w:r>
      <w:r>
        <w:rPr>
          <w:rFonts w:cs="Times New Roman" w:asciiTheme="minorEastAsia" w:hAnsiTheme="minorEastAsia"/>
          <w:b/>
          <w:color w:val="000000"/>
          <w:szCs w:val="21"/>
        </w:rPr>
        <w:t>1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课程目标与考核细项的支撑关系</w:t>
      </w:r>
    </w:p>
    <w:tbl>
      <w:tblPr>
        <w:tblStyle w:val="7"/>
        <w:tblW w:w="8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0"/>
        <w:gridCol w:w="1287"/>
        <w:gridCol w:w="2125"/>
        <w:gridCol w:w="3052"/>
      </w:tblGrid>
      <w:tr w14:paraId="291C7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05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763921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课程目标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97A51C5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考核细项</w:t>
            </w:r>
          </w:p>
        </w:tc>
        <w:tc>
          <w:tcPr>
            <w:tcW w:w="1287" w:type="dxa"/>
            <w:vAlign w:val="center"/>
          </w:tcPr>
          <w:p w14:paraId="149FE7E8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成绩百分占比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59073FD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记录文档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BEA068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具体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评价</w:t>
            </w:r>
            <w:r>
              <w:rPr>
                <w:rFonts w:cs="Times New Roman" w:asciiTheme="minorEastAsia" w:hAnsiTheme="minorEastAsia"/>
                <w:b/>
                <w:szCs w:val="21"/>
              </w:rPr>
              <w:t>内容</w:t>
            </w:r>
          </w:p>
        </w:tc>
      </w:tr>
      <w:tr w14:paraId="48150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9CC807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0B27BF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0A49F717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298F0B7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平时测验与作业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5781A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课程章节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测验、作业</w:t>
            </w:r>
          </w:p>
        </w:tc>
      </w:tr>
      <w:tr w14:paraId="7FE20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9172BF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BEBE9D3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实验（实践）成绩</w:t>
            </w:r>
          </w:p>
        </w:tc>
        <w:tc>
          <w:tcPr>
            <w:tcW w:w="1287" w:type="dxa"/>
            <w:vAlign w:val="center"/>
          </w:tcPr>
          <w:p w14:paraId="7475EE5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6B462DCA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578DA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1855A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78334E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455008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4C0299B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AD06E7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期末试卷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2B2C77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期末考试选择题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题，判断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</w:t>
            </w:r>
          </w:p>
        </w:tc>
      </w:tr>
      <w:tr w14:paraId="4205D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A1E270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78A35A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291F842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91E429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平时测验与作业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EE1E1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课程章节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测验、作业</w:t>
            </w:r>
          </w:p>
        </w:tc>
      </w:tr>
      <w:tr w14:paraId="3C2C4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1FD16B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DB1ED8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实验（实践）成绩</w:t>
            </w:r>
          </w:p>
        </w:tc>
        <w:tc>
          <w:tcPr>
            <w:tcW w:w="1287" w:type="dxa"/>
            <w:vAlign w:val="center"/>
          </w:tcPr>
          <w:p w14:paraId="6DF2576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050F812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D994BF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76812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D3C4A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F2B316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7712F8E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DE2E65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期末试卷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AB9BB3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期末考试选择题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题，简答题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</w:t>
            </w:r>
          </w:p>
        </w:tc>
      </w:tr>
      <w:tr w14:paraId="44F8F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6113DD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B43F50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平时成绩</w:t>
            </w:r>
          </w:p>
        </w:tc>
        <w:tc>
          <w:tcPr>
            <w:tcW w:w="1287" w:type="dxa"/>
            <w:vAlign w:val="center"/>
          </w:tcPr>
          <w:p w14:paraId="691AFA88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4B0A2512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平时测验与作业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3D126E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课程章节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测验、作业</w:t>
            </w:r>
          </w:p>
        </w:tc>
      </w:tr>
      <w:tr w14:paraId="19D6B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71565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A08FF79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实验（实践）成绩</w:t>
            </w:r>
          </w:p>
        </w:tc>
        <w:tc>
          <w:tcPr>
            <w:tcW w:w="1287" w:type="dxa"/>
            <w:vAlign w:val="center"/>
          </w:tcPr>
          <w:p w14:paraId="263D989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4133484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实验（实践）报告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D28220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实验（实践）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X1-Xn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报告</w:t>
            </w:r>
          </w:p>
        </w:tc>
      </w:tr>
      <w:tr w14:paraId="27FEB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E1339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68616A1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期末成绩</w:t>
            </w:r>
          </w:p>
        </w:tc>
        <w:tc>
          <w:tcPr>
            <w:tcW w:w="1287" w:type="dxa"/>
            <w:vAlign w:val="center"/>
          </w:tcPr>
          <w:p w14:paraId="211EFD5A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CEA178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期末试卷</w:t>
            </w:r>
          </w:p>
        </w:tc>
        <w:tc>
          <w:tcPr>
            <w:tcW w:w="30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954180">
            <w:pPr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期末考试综合设计题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题，总计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分</w:t>
            </w:r>
          </w:p>
        </w:tc>
      </w:tr>
      <w:tr w14:paraId="0DD0D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5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11F3512"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合计</w:t>
            </w:r>
          </w:p>
        </w:tc>
        <w:tc>
          <w:tcPr>
            <w:tcW w:w="11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543ED5F">
            <w:pPr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</w:tcPr>
          <w:p w14:paraId="29F63CD7">
            <w:pPr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1</w:t>
            </w:r>
            <w:r>
              <w:rPr>
                <w:rFonts w:cs="Times New Roman" w:asciiTheme="minorEastAsia" w:hAnsiTheme="minorEastAsia"/>
                <w:b/>
                <w:szCs w:val="21"/>
              </w:rPr>
              <w:t>00</w:t>
            </w:r>
          </w:p>
        </w:tc>
        <w:tc>
          <w:tcPr>
            <w:tcW w:w="212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688CA16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  <w:tc>
          <w:tcPr>
            <w:tcW w:w="305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BDA0DC">
            <w:pPr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</w:p>
        </w:tc>
      </w:tr>
    </w:tbl>
    <w:p w14:paraId="20B59B99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注：期末考试成绩不超过60%。</w:t>
      </w:r>
    </w:p>
    <w:p w14:paraId="721EEE7B">
      <w:pPr>
        <w:spacing w:line="360" w:lineRule="exact"/>
        <w:ind w:firstLine="422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4.</w:t>
      </w:r>
      <w:r>
        <w:rPr>
          <w:rFonts w:cs="Times New Roman" w:asciiTheme="minorEastAsia" w:hAnsiTheme="minorEastAsia"/>
          <w:b/>
          <w:szCs w:val="21"/>
        </w:rPr>
        <w:t>考核评分</w:t>
      </w:r>
      <w:r>
        <w:rPr>
          <w:rFonts w:hint="eastAsia" w:cs="Times New Roman" w:asciiTheme="minorEastAsia" w:hAnsiTheme="minorEastAsia"/>
          <w:b/>
          <w:szCs w:val="21"/>
        </w:rPr>
        <w:t>标准</w:t>
      </w:r>
    </w:p>
    <w:p w14:paraId="27AFE3D7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1）</w:t>
      </w:r>
      <w:r>
        <w:rPr>
          <w:rFonts w:cs="Times New Roman" w:asciiTheme="minorEastAsia" w:hAnsiTheme="minorEastAsia"/>
          <w:szCs w:val="21"/>
        </w:rPr>
        <w:t>单元测验由单选题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分）、多选题（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分）、判断题（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分）、填空题（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分）组成，最终成绩以百分制表示：正确题目得分/所有题目总分×1</w:t>
      </w:r>
      <w:r>
        <w:rPr>
          <w:rFonts w:cs="Times New Roman" w:asciiTheme="minorEastAsia" w:hAnsiTheme="minorEastAsia"/>
          <w:szCs w:val="21"/>
        </w:rPr>
        <w:t>00</w:t>
      </w:r>
      <w:r>
        <w:rPr>
          <w:rFonts w:hint="eastAsia" w:cs="Times New Roman" w:asciiTheme="minorEastAsia" w:hAnsiTheme="minorEastAsia"/>
          <w:szCs w:val="21"/>
        </w:rPr>
        <w:t>%。</w:t>
      </w:r>
      <w:r>
        <w:rPr>
          <w:rFonts w:cs="Times New Roman" w:asciiTheme="minorEastAsia" w:hAnsiTheme="minorEastAsia"/>
          <w:szCs w:val="21"/>
        </w:rPr>
        <w:t>评分标准</w:t>
      </w:r>
      <w:r>
        <w:rPr>
          <w:rFonts w:hint="eastAsia" w:cs="Times New Roman" w:asciiTheme="minorEastAsia" w:hAnsiTheme="minorEastAsia"/>
          <w:szCs w:val="21"/>
        </w:rPr>
        <w:t>为</w:t>
      </w:r>
      <w:r>
        <w:rPr>
          <w:rFonts w:cs="Times New Roman" w:asciiTheme="minorEastAsia" w:hAnsiTheme="minorEastAsia"/>
          <w:szCs w:val="21"/>
        </w:rPr>
        <w:t>单元测验均为客观题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有唯一正确答案</w:t>
      </w:r>
      <w:r>
        <w:rPr>
          <w:rFonts w:hint="eastAsia" w:cs="Times New Roman" w:asciiTheme="minorEastAsia" w:hAnsiTheme="minorEastAsia"/>
          <w:szCs w:val="21"/>
        </w:rPr>
        <w:t>，回答</w:t>
      </w:r>
      <w:r>
        <w:rPr>
          <w:rFonts w:cs="Times New Roman" w:asciiTheme="minorEastAsia" w:hAnsiTheme="minorEastAsia"/>
          <w:szCs w:val="21"/>
        </w:rPr>
        <w:t>正确得满分</w:t>
      </w:r>
      <w:r>
        <w:rPr>
          <w:rFonts w:hint="eastAsia" w:cs="Times New Roman" w:asciiTheme="minorEastAsia" w:hAnsiTheme="minorEastAsia"/>
          <w:szCs w:val="21"/>
        </w:rPr>
        <w:t>，回答</w:t>
      </w:r>
      <w:r>
        <w:rPr>
          <w:rFonts w:cs="Times New Roman" w:asciiTheme="minorEastAsia" w:hAnsiTheme="minorEastAsia"/>
          <w:szCs w:val="21"/>
        </w:rPr>
        <w:t>错误不得分</w:t>
      </w:r>
      <w:r>
        <w:rPr>
          <w:rFonts w:hint="eastAsia" w:cs="Times New Roman" w:asciiTheme="minorEastAsia" w:hAnsiTheme="minorEastAsia"/>
          <w:szCs w:val="21"/>
        </w:rPr>
        <w:t>。</w:t>
      </w:r>
    </w:p>
    <w:p w14:paraId="21C46C06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2）</w:t>
      </w:r>
      <w:r>
        <w:rPr>
          <w:rFonts w:cs="Times New Roman" w:asciiTheme="minorEastAsia" w:hAnsiTheme="minorEastAsia"/>
          <w:szCs w:val="21"/>
        </w:rPr>
        <w:t>课后作业由填空题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分）、简答题（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分）、分析设计题（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分）组成。最终成绩以百分制表示：正确题目得分/所有题目总分×1</w:t>
      </w:r>
      <w:r>
        <w:rPr>
          <w:rFonts w:cs="Times New Roman" w:asciiTheme="minorEastAsia" w:hAnsiTheme="minorEastAsia"/>
          <w:szCs w:val="21"/>
        </w:rPr>
        <w:t>00</w:t>
      </w:r>
      <w:r>
        <w:rPr>
          <w:rFonts w:hint="eastAsia" w:cs="Times New Roman" w:asciiTheme="minorEastAsia" w:hAnsiTheme="minorEastAsia"/>
          <w:szCs w:val="21"/>
        </w:rPr>
        <w:t>%；评分标准为填空题回答正确得</w:t>
      </w:r>
      <w:r>
        <w:rPr>
          <w:rFonts w:cs="Times New Roman" w:asciiTheme="minorEastAsia" w:hAnsiTheme="minorEastAsia"/>
          <w:szCs w:val="21"/>
        </w:rPr>
        <w:t>X</w:t>
      </w:r>
      <w:r>
        <w:rPr>
          <w:rFonts w:hint="eastAsia" w:cs="Times New Roman" w:asciiTheme="minorEastAsia" w:hAnsiTheme="minorEastAsia"/>
          <w:szCs w:val="21"/>
        </w:rPr>
        <w:t>分，错误不得分。</w:t>
      </w:r>
    </w:p>
    <w:p w14:paraId="0770EF82">
      <w:pPr>
        <w:spacing w:line="360" w:lineRule="exact"/>
        <w:ind w:firstLine="422" w:firstLineChars="200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表6</w:t>
      </w:r>
      <w:r>
        <w:rPr>
          <w:rFonts w:cs="Times New Roman" w:asciiTheme="minorEastAsia" w:hAnsiTheme="minorEastAsia"/>
          <w:b/>
          <w:color w:val="000000"/>
          <w:szCs w:val="21"/>
        </w:rPr>
        <w:t>-2课后作业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简答题与分析设计题评分标准</w:t>
      </w:r>
    </w:p>
    <w:tbl>
      <w:tblPr>
        <w:tblStyle w:val="7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760"/>
        <w:gridCol w:w="1760"/>
        <w:gridCol w:w="1760"/>
        <w:gridCol w:w="1761"/>
      </w:tblGrid>
      <w:tr w14:paraId="0D9C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12A11317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课程目标</w:t>
            </w:r>
          </w:p>
        </w:tc>
        <w:tc>
          <w:tcPr>
            <w:tcW w:w="7041" w:type="dxa"/>
            <w:gridSpan w:val="4"/>
            <w:shd w:val="clear" w:color="auto" w:fill="auto"/>
            <w:vAlign w:val="center"/>
          </w:tcPr>
          <w:p w14:paraId="48660A0F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评分</w:t>
            </w:r>
          </w:p>
        </w:tc>
      </w:tr>
      <w:tr w14:paraId="7680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shd w:val="clear" w:color="auto" w:fill="auto"/>
            <w:vAlign w:val="center"/>
          </w:tcPr>
          <w:p w14:paraId="512B9328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FB94C43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90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100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2AF5AF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75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89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C4096A9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60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74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4E09355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59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</w:tr>
      <w:tr w14:paraId="13EE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4CAC57DC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相关概念掌握程度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AB3833E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概念理解清晰，表述正确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3BE9FB7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主要概念理解清晰，表述基本正确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302002D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部分概念理解清晰，表述存在部分漏洞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ECDB03D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概念理解不清晰，表述错误</w:t>
            </w:r>
          </w:p>
        </w:tc>
      </w:tr>
      <w:tr w14:paraId="796C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50B74177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解答/设计方案正确性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15745A1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能解决提出的问题，解答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设计完整，逻辑清晰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C16EB56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能解决主要问题，具备解答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设计的大关键要素，逻辑较为清晰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64EFE6A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能解决部分问题，具备解答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设计的部分环节，逻辑存在漏洞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F82D684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未能解决问题，解答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设计中间环节缺失，逻辑错误</w:t>
            </w:r>
          </w:p>
        </w:tc>
      </w:tr>
      <w:tr w14:paraId="4416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55" w:type="dxa"/>
            <w:shd w:val="clear" w:color="auto" w:fill="auto"/>
            <w:vAlign w:val="center"/>
          </w:tcPr>
          <w:p w14:paraId="4AEC1FB7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作业完成态度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F8988B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按时提交，解答符合工程规范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A4EE17F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按时提交，解答基本工程符合规范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F2D9921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延时提交，解答部分符合工程规范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3587895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后期补交，解答不符合工程规范</w:t>
            </w:r>
          </w:p>
        </w:tc>
      </w:tr>
    </w:tbl>
    <w:p w14:paraId="351236AB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3）</w:t>
      </w:r>
      <w:r>
        <w:rPr>
          <w:rFonts w:cs="Times New Roman" w:asciiTheme="minorEastAsia" w:hAnsiTheme="minorEastAsia"/>
          <w:szCs w:val="21"/>
        </w:rPr>
        <w:t>实验环节按照百分制评分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实验步骤与数据有效性需由任课教师签字确认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未经审核签字的实验一律得</w:t>
      </w:r>
      <w:r>
        <w:rPr>
          <w:rFonts w:hint="eastAsia" w:cs="Times New Roman" w:asciiTheme="minorEastAsia" w:hAnsiTheme="minorEastAsia"/>
          <w:szCs w:val="21"/>
        </w:rPr>
        <w:t>0分。</w:t>
      </w:r>
      <w:r>
        <w:rPr>
          <w:rFonts w:cs="Times New Roman" w:asciiTheme="minorEastAsia" w:hAnsiTheme="minorEastAsia"/>
          <w:szCs w:val="21"/>
        </w:rPr>
        <w:t>评分标准</w:t>
      </w:r>
      <w:r>
        <w:rPr>
          <w:rFonts w:hint="eastAsia" w:cs="Times New Roman" w:asciiTheme="minorEastAsia" w:hAnsiTheme="minorEastAsia"/>
          <w:szCs w:val="21"/>
        </w:rPr>
        <w:t>见表6-3。（实践环节评分及标准可以参考实验环节评分及标准）</w:t>
      </w:r>
    </w:p>
    <w:p w14:paraId="16C81005">
      <w:pPr>
        <w:spacing w:line="360" w:lineRule="exact"/>
        <w:ind w:firstLine="422" w:firstLineChars="20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141B57C0">
      <w:pPr>
        <w:spacing w:line="360" w:lineRule="exact"/>
        <w:ind w:firstLine="422" w:firstLineChars="200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表6</w:t>
      </w:r>
      <w:r>
        <w:rPr>
          <w:rFonts w:cs="Times New Roman" w:asciiTheme="minorEastAsia" w:hAnsiTheme="minorEastAsia"/>
          <w:b/>
          <w:color w:val="000000"/>
          <w:szCs w:val="21"/>
        </w:rPr>
        <w:t>-3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实验评分标准</w:t>
      </w:r>
    </w:p>
    <w:tbl>
      <w:tblPr>
        <w:tblStyle w:val="7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743"/>
        <w:gridCol w:w="1743"/>
        <w:gridCol w:w="1743"/>
        <w:gridCol w:w="1745"/>
      </w:tblGrid>
      <w:tr w14:paraId="067A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14:paraId="7802229C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课程目标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14:paraId="04F6ADEA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评分</w:t>
            </w:r>
          </w:p>
        </w:tc>
      </w:tr>
      <w:tr w14:paraId="726A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 w14:paraId="2B14D768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99882AD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90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100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ADA1524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75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89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B69EE4E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60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74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9E7F337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-</w:t>
            </w:r>
            <w:r>
              <w:rPr>
                <w:rFonts w:cs="Times New Roman" w:asciiTheme="minorEastAsia" w:hAnsiTheme="minorEastAsia"/>
                <w:b/>
                <w:szCs w:val="21"/>
              </w:rPr>
              <w:t>59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分</w:t>
            </w:r>
          </w:p>
        </w:tc>
      </w:tr>
      <w:tr w14:paraId="2740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14:paraId="721B5A1E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实验设计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E5D3167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实验步骤合理清晰，设计方案逻辑清晰，能体现一定的创新性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83D03AC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实验步骤较为合理，设计方案逻辑完整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7C2D3B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实验步骤不完整，设计方案存在逻辑缺陷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8412BF5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实验步骤缺失，设计方案逻辑错误</w:t>
            </w:r>
          </w:p>
        </w:tc>
      </w:tr>
      <w:tr w14:paraId="5AB0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 w14:paraId="682438D9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实验结果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0A5D7B7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实验报告按时提交，字迹工整清晰，数据记录完整，数据处理与实验结果正确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515D21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实验报告按时提交，字迹清晰，数据记录基本完整，数据处理与实验结果基本正确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D6E5FB5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实验报告延时提交，字迹潦草但能辨识，数据记录部分缺失，数据处理与实验结果存在较多错误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E5A5662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实验报告后期提交，字迹潦草且不能辨识，数据记录缺失，数据处理与实验结果缺失或完全错误</w:t>
            </w:r>
          </w:p>
        </w:tc>
      </w:tr>
    </w:tbl>
    <w:p w14:paraId="45FDA3FB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4）期末考试</w:t>
      </w:r>
      <w:r>
        <w:rPr>
          <w:rFonts w:cs="Times New Roman" w:asciiTheme="minorEastAsia" w:hAnsiTheme="minorEastAsia"/>
          <w:szCs w:val="21"/>
        </w:rPr>
        <w:t>按照参考答案和评分标准进行评分</w:t>
      </w:r>
      <w:r>
        <w:rPr>
          <w:rFonts w:hint="eastAsia" w:cs="Times New Roman" w:asciiTheme="minorEastAsia" w:hAnsiTheme="minorEastAsia"/>
          <w:szCs w:val="21"/>
        </w:rPr>
        <w:t>，最终成绩</w:t>
      </w:r>
      <w:r>
        <w:rPr>
          <w:rFonts w:cs="Times New Roman" w:asciiTheme="minorEastAsia" w:hAnsiTheme="minorEastAsia"/>
          <w:szCs w:val="21"/>
        </w:rPr>
        <w:t>按照百分制评分</w:t>
      </w:r>
      <w:r>
        <w:rPr>
          <w:rFonts w:hint="eastAsia" w:cs="Times New Roman" w:asciiTheme="minorEastAsia" w:hAnsiTheme="minorEastAsia"/>
          <w:szCs w:val="21"/>
        </w:rPr>
        <w:t>。</w:t>
      </w:r>
    </w:p>
    <w:p w14:paraId="2E88A329">
      <w:pPr>
        <w:snapToGrid w:val="0"/>
        <w:spacing w:line="360" w:lineRule="exact"/>
        <w:ind w:firstLine="422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5</w:t>
      </w:r>
      <w:r>
        <w:rPr>
          <w:rFonts w:cs="Times New Roman" w:asciiTheme="minorEastAsia" w:hAnsiTheme="minorEastAsia"/>
          <w:b/>
          <w:szCs w:val="21"/>
        </w:rPr>
        <w:t>.</w:t>
      </w:r>
      <w:r>
        <w:rPr>
          <w:rFonts w:hint="eastAsia" w:cs="Times New Roman" w:asciiTheme="minorEastAsia" w:hAnsiTheme="minorEastAsia"/>
          <w:b/>
          <w:szCs w:val="21"/>
        </w:rPr>
        <w:t xml:space="preserve"> 课程目标</w:t>
      </w:r>
      <w:r>
        <w:rPr>
          <w:rFonts w:cs="Times New Roman" w:asciiTheme="minorEastAsia" w:hAnsiTheme="minorEastAsia"/>
          <w:b/>
          <w:szCs w:val="21"/>
        </w:rPr>
        <w:t>达成度</w:t>
      </w:r>
    </w:p>
    <w:p w14:paraId="4AE8209A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4637A370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COj达成度</m:t>
          </m:r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%</m:t>
          </m:r>
          <m:r>
            <m:rPr>
              <m:sty m:val="b"/>
            </m:rPr>
            <w:rPr>
              <w:rFonts w:hint="eastAsia"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考核细项中对应COj的平均得分×考核细项的支撑权重系数</m:t>
                  </m: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COj的百分总占比</m:t>
              </m:r>
              <m:ctrlPr>
                <w:rPr>
                  <w:rFonts w:ascii="Cambria Math" w:hAnsi="Cambria Math" w:cs="Times New Roman"/>
                  <w:szCs w:val="21"/>
                </w:rPr>
              </m:ctrlPr>
            </m:den>
          </m:f>
        </m:oMath>
      </m:oMathPara>
    </w:p>
    <w:p w14:paraId="5F85E451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w:bookmarkStart w:id="8" w:name="_GoBack"/>
      <w:bookmarkEnd w:id="8"/>
    </w:p>
    <w:p w14:paraId="2E94CF18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七、</w:t>
      </w:r>
      <w:r>
        <w:rPr>
          <w:rFonts w:cs="Times New Roman" w:asciiTheme="minorEastAsia" w:hAnsiTheme="minorEastAsia"/>
          <w:b/>
          <w:szCs w:val="21"/>
        </w:rPr>
        <w:t>教材及教学参考书</w:t>
      </w:r>
    </w:p>
    <w:p w14:paraId="1DD9932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课程思政要落实到教材编审选用。</w:t>
      </w:r>
      <w:r>
        <w:rPr>
          <w:rFonts w:cs="Times New Roman" w:asciiTheme="minorEastAsia" w:hAnsiTheme="minorEastAsia"/>
          <w:color w:val="FF0000"/>
          <w:szCs w:val="21"/>
        </w:rPr>
        <w:t>推荐不少于3本的教材及教学参考书，书写格式：教材名称，主编（作者或译者），国际标准书号（ISBN，用“-”隔开数字），出版社，出版时间，出版国家（仅用于境外教材）。鼓励采用自编讲义，完善课程教学资源库建设。</w:t>
      </w:r>
      <w:r>
        <w:rPr>
          <w:rFonts w:hint="eastAsia"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3EEE107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八、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4DF95C0C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724D1D83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3720CA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95CF37C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DF59D16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729821F1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基层教学组织负责人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515B094B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专业/学院教学负责人：</w:t>
      </w:r>
    </w:p>
    <w:p w14:paraId="2C806E12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80FD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5291FDB">
    <w:pPr>
      <w:pStyle w:val="4"/>
    </w:pPr>
  </w:p>
  <w:p w14:paraId="17ECD82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mE2MGQ1YmYyYTZlMmExYjBjYjljYmZlOGIxMzUifQ=="/>
  </w:docVars>
  <w:rsids>
    <w:rsidRoot w:val="00855818"/>
    <w:rsid w:val="000113DC"/>
    <w:rsid w:val="000145F1"/>
    <w:rsid w:val="000511D2"/>
    <w:rsid w:val="00074A45"/>
    <w:rsid w:val="00085790"/>
    <w:rsid w:val="00087A52"/>
    <w:rsid w:val="000911D4"/>
    <w:rsid w:val="000C03EA"/>
    <w:rsid w:val="000C57A8"/>
    <w:rsid w:val="000D4905"/>
    <w:rsid w:val="000F003D"/>
    <w:rsid w:val="000F1D41"/>
    <w:rsid w:val="000F202A"/>
    <w:rsid w:val="00100EBA"/>
    <w:rsid w:val="0011719F"/>
    <w:rsid w:val="00147143"/>
    <w:rsid w:val="001A0BA1"/>
    <w:rsid w:val="001A2301"/>
    <w:rsid w:val="001A630E"/>
    <w:rsid w:val="001E5147"/>
    <w:rsid w:val="001F1A45"/>
    <w:rsid w:val="00206589"/>
    <w:rsid w:val="002659D1"/>
    <w:rsid w:val="00267203"/>
    <w:rsid w:val="002705BE"/>
    <w:rsid w:val="0027501D"/>
    <w:rsid w:val="00276467"/>
    <w:rsid w:val="0028476B"/>
    <w:rsid w:val="0028765A"/>
    <w:rsid w:val="002B11B1"/>
    <w:rsid w:val="002C414B"/>
    <w:rsid w:val="002F1103"/>
    <w:rsid w:val="002F1E68"/>
    <w:rsid w:val="00331AF0"/>
    <w:rsid w:val="00360597"/>
    <w:rsid w:val="00377B07"/>
    <w:rsid w:val="003933FB"/>
    <w:rsid w:val="003A1244"/>
    <w:rsid w:val="003B17C1"/>
    <w:rsid w:val="003B6109"/>
    <w:rsid w:val="003B6DB1"/>
    <w:rsid w:val="003C051F"/>
    <w:rsid w:val="003C1D75"/>
    <w:rsid w:val="003D2698"/>
    <w:rsid w:val="003F02E9"/>
    <w:rsid w:val="003F642B"/>
    <w:rsid w:val="00410B6D"/>
    <w:rsid w:val="00461A1C"/>
    <w:rsid w:val="00463524"/>
    <w:rsid w:val="004A56E6"/>
    <w:rsid w:val="004A7F32"/>
    <w:rsid w:val="004D1FCC"/>
    <w:rsid w:val="004D2D14"/>
    <w:rsid w:val="004D4E1B"/>
    <w:rsid w:val="004F37DD"/>
    <w:rsid w:val="00517612"/>
    <w:rsid w:val="00522822"/>
    <w:rsid w:val="0053107A"/>
    <w:rsid w:val="00546F56"/>
    <w:rsid w:val="00571257"/>
    <w:rsid w:val="005873B6"/>
    <w:rsid w:val="005924A3"/>
    <w:rsid w:val="005A14E9"/>
    <w:rsid w:val="005F7547"/>
    <w:rsid w:val="00600D32"/>
    <w:rsid w:val="0063567E"/>
    <w:rsid w:val="0065290A"/>
    <w:rsid w:val="006A3B13"/>
    <w:rsid w:val="006A54AC"/>
    <w:rsid w:val="006B13F6"/>
    <w:rsid w:val="00710748"/>
    <w:rsid w:val="00713809"/>
    <w:rsid w:val="00736DF0"/>
    <w:rsid w:val="00760DE9"/>
    <w:rsid w:val="00767A0D"/>
    <w:rsid w:val="00785075"/>
    <w:rsid w:val="007A099B"/>
    <w:rsid w:val="007A48F4"/>
    <w:rsid w:val="007E00D0"/>
    <w:rsid w:val="007E53B0"/>
    <w:rsid w:val="00801493"/>
    <w:rsid w:val="00801EB1"/>
    <w:rsid w:val="00804494"/>
    <w:rsid w:val="00804BB3"/>
    <w:rsid w:val="00855818"/>
    <w:rsid w:val="008838D2"/>
    <w:rsid w:val="00885982"/>
    <w:rsid w:val="008B2B6E"/>
    <w:rsid w:val="008D0500"/>
    <w:rsid w:val="0091399B"/>
    <w:rsid w:val="00922DB3"/>
    <w:rsid w:val="009252F2"/>
    <w:rsid w:val="00933EBD"/>
    <w:rsid w:val="00935F1A"/>
    <w:rsid w:val="00955AE5"/>
    <w:rsid w:val="00970891"/>
    <w:rsid w:val="0098048B"/>
    <w:rsid w:val="009B1793"/>
    <w:rsid w:val="009C0BAA"/>
    <w:rsid w:val="009D59CF"/>
    <w:rsid w:val="009F3C06"/>
    <w:rsid w:val="00A0067F"/>
    <w:rsid w:val="00A020FC"/>
    <w:rsid w:val="00A027C7"/>
    <w:rsid w:val="00A038D9"/>
    <w:rsid w:val="00A21BEB"/>
    <w:rsid w:val="00A33454"/>
    <w:rsid w:val="00A42017"/>
    <w:rsid w:val="00A458BB"/>
    <w:rsid w:val="00A50642"/>
    <w:rsid w:val="00A71A65"/>
    <w:rsid w:val="00A85C09"/>
    <w:rsid w:val="00A93BC9"/>
    <w:rsid w:val="00AD2C3D"/>
    <w:rsid w:val="00B0016C"/>
    <w:rsid w:val="00B12C28"/>
    <w:rsid w:val="00B208C6"/>
    <w:rsid w:val="00B508D5"/>
    <w:rsid w:val="00B83D93"/>
    <w:rsid w:val="00B86D77"/>
    <w:rsid w:val="00B97567"/>
    <w:rsid w:val="00BB39AA"/>
    <w:rsid w:val="00BB3F5F"/>
    <w:rsid w:val="00BB4474"/>
    <w:rsid w:val="00C033D8"/>
    <w:rsid w:val="00C03410"/>
    <w:rsid w:val="00C17C53"/>
    <w:rsid w:val="00C4135A"/>
    <w:rsid w:val="00C42890"/>
    <w:rsid w:val="00C452A5"/>
    <w:rsid w:val="00C6028A"/>
    <w:rsid w:val="00C77894"/>
    <w:rsid w:val="00CC171E"/>
    <w:rsid w:val="00CD46FC"/>
    <w:rsid w:val="00CE334F"/>
    <w:rsid w:val="00CE7926"/>
    <w:rsid w:val="00CF4F4E"/>
    <w:rsid w:val="00D03AD3"/>
    <w:rsid w:val="00D22396"/>
    <w:rsid w:val="00D45B6D"/>
    <w:rsid w:val="00D575BF"/>
    <w:rsid w:val="00D76814"/>
    <w:rsid w:val="00D81C07"/>
    <w:rsid w:val="00D86386"/>
    <w:rsid w:val="00DA145E"/>
    <w:rsid w:val="00DA54DE"/>
    <w:rsid w:val="00DB0480"/>
    <w:rsid w:val="00DB7F51"/>
    <w:rsid w:val="00DC1010"/>
    <w:rsid w:val="00DC25DC"/>
    <w:rsid w:val="00DD4D88"/>
    <w:rsid w:val="00DF749F"/>
    <w:rsid w:val="00E018AC"/>
    <w:rsid w:val="00E02DD1"/>
    <w:rsid w:val="00E143A7"/>
    <w:rsid w:val="00E22865"/>
    <w:rsid w:val="00E24F44"/>
    <w:rsid w:val="00E25CEE"/>
    <w:rsid w:val="00E43384"/>
    <w:rsid w:val="00E75DD6"/>
    <w:rsid w:val="00E9013B"/>
    <w:rsid w:val="00E90C45"/>
    <w:rsid w:val="00E931F5"/>
    <w:rsid w:val="00EA2D33"/>
    <w:rsid w:val="00EB7BAD"/>
    <w:rsid w:val="00EC1537"/>
    <w:rsid w:val="00EC1739"/>
    <w:rsid w:val="00ED0A6B"/>
    <w:rsid w:val="00ED5361"/>
    <w:rsid w:val="00EE352F"/>
    <w:rsid w:val="00EE45C7"/>
    <w:rsid w:val="00EE4A82"/>
    <w:rsid w:val="00EE50C0"/>
    <w:rsid w:val="00EF3417"/>
    <w:rsid w:val="00F02442"/>
    <w:rsid w:val="00F04594"/>
    <w:rsid w:val="00F07758"/>
    <w:rsid w:val="00F157B1"/>
    <w:rsid w:val="00F309A0"/>
    <w:rsid w:val="00F3280E"/>
    <w:rsid w:val="00F32CC6"/>
    <w:rsid w:val="00F34867"/>
    <w:rsid w:val="00F36924"/>
    <w:rsid w:val="00F5563B"/>
    <w:rsid w:val="00F72398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5A219E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3967438"/>
    <w:rsid w:val="46DF20E7"/>
    <w:rsid w:val="4AAA01B3"/>
    <w:rsid w:val="4B5375A2"/>
    <w:rsid w:val="4BB96274"/>
    <w:rsid w:val="4C0A2FC7"/>
    <w:rsid w:val="4D6F1C7C"/>
    <w:rsid w:val="504E468F"/>
    <w:rsid w:val="514A5E5D"/>
    <w:rsid w:val="54E42E5C"/>
    <w:rsid w:val="5B670CC1"/>
    <w:rsid w:val="5FC32524"/>
    <w:rsid w:val="62E152E9"/>
    <w:rsid w:val="632F5C48"/>
    <w:rsid w:val="66493A71"/>
    <w:rsid w:val="6AAD15C5"/>
    <w:rsid w:val="6C4F6888"/>
    <w:rsid w:val="71961A6E"/>
    <w:rsid w:val="72794346"/>
    <w:rsid w:val="72A51A1A"/>
    <w:rsid w:val="750B0F29"/>
    <w:rsid w:val="779A6C9F"/>
    <w:rsid w:val="7A8306AB"/>
    <w:rsid w:val="7B2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character" w:customStyle="1" w:styleId="17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2980</Words>
  <Characters>3196</Characters>
  <Lines>311</Lines>
  <Paragraphs>189</Paragraphs>
  <TotalTime>173</TotalTime>
  <ScaleCrop>false</ScaleCrop>
  <LinksUpToDate>false</LinksUpToDate>
  <CharactersWithSpaces>3219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2024-03-05T11:03:00Z</cp:lastPrinted>
  <dcterms:modified xsi:type="dcterms:W3CDTF">2025-05-28T06:26:19Z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F08C1183FBE3403B8A7829845319255F_13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