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CB5DB">
      <w:pPr>
        <w:snapToGrid w:val="0"/>
        <w:spacing w:line="360" w:lineRule="exact"/>
        <w:jc w:val="center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温州理工学院</w:t>
      </w:r>
      <w:r>
        <w:rPr>
          <w:rFonts w:cs="Times New Roman" w:asciiTheme="minorEastAsia" w:hAnsiTheme="minorEastAsia"/>
          <w:b/>
          <w:bCs/>
          <w:sz w:val="32"/>
          <w:szCs w:val="32"/>
        </w:rPr>
        <w:t>《</w:t>
      </w:r>
      <w:r>
        <w:rPr>
          <w:rFonts w:hint="eastAsia" w:cs="Times New Roman" w:asciiTheme="minorEastAsia" w:hAnsiTheme="minorEastAsia"/>
          <w:b/>
          <w:bCs/>
          <w:color w:val="FF0000"/>
          <w:sz w:val="32"/>
          <w:szCs w:val="32"/>
        </w:rPr>
        <w:t>课程名称</w:t>
      </w:r>
      <w:r>
        <w:rPr>
          <w:rFonts w:cs="Times New Roman" w:asciiTheme="minorEastAsia" w:hAnsiTheme="minorEastAsia"/>
          <w:b/>
          <w:bCs/>
          <w:sz w:val="32"/>
          <w:szCs w:val="32"/>
        </w:rPr>
        <w:t>》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课程</w:t>
      </w:r>
      <w:r>
        <w:rPr>
          <w:rFonts w:cs="Times New Roman" w:asciiTheme="minorEastAsia" w:hAnsiTheme="minorEastAsia"/>
          <w:b/>
          <w:bCs/>
          <w:sz w:val="32"/>
          <w:szCs w:val="32"/>
        </w:rPr>
        <w:t>教学大纲</w:t>
      </w:r>
    </w:p>
    <w:p w14:paraId="6F396760">
      <w:pPr>
        <w:snapToGrid w:val="0"/>
        <w:spacing w:line="360" w:lineRule="exact"/>
        <w:jc w:val="center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（20</w:t>
      </w:r>
      <w:r>
        <w:rPr>
          <w:rFonts w:cs="Times New Roman" w:asciiTheme="minorEastAsia" w:hAnsiTheme="minorEastAsia"/>
          <w:b/>
          <w:sz w:val="24"/>
          <w:szCs w:val="24"/>
        </w:rPr>
        <w:t>24</w:t>
      </w:r>
      <w:r>
        <w:rPr>
          <w:rFonts w:hint="eastAsia" w:cs="Times New Roman" w:asciiTheme="minorEastAsia" w:hAnsiTheme="minorEastAsia"/>
          <w:b/>
          <w:sz w:val="24"/>
          <w:szCs w:val="24"/>
        </w:rPr>
        <w:t>版）</w:t>
      </w:r>
    </w:p>
    <w:p w14:paraId="083FBF65">
      <w:pPr>
        <w:snapToGrid w:val="0"/>
        <w:spacing w:line="360" w:lineRule="exact"/>
        <w:ind w:firstLine="354" w:firstLineChars="147"/>
        <w:jc w:val="left"/>
        <w:rPr>
          <w:rFonts w:cs="Times New Roman" w:asciiTheme="minorEastAsia" w:hAnsiTheme="minorEastAsia"/>
          <w:b/>
          <w:color w:val="FF000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FF0000"/>
          <w:sz w:val="24"/>
          <w:szCs w:val="24"/>
        </w:rPr>
        <w:t>（红色字体部分为编写建议或模拟填写，撰写完成后请予以删除）</w:t>
      </w:r>
    </w:p>
    <w:p w14:paraId="109E405D">
      <w:pPr>
        <w:spacing w:line="360" w:lineRule="exact"/>
        <w:ind w:firstLine="422" w:firstLineChars="200"/>
        <w:rPr>
          <w:rFonts w:cs="Times New Roman" w:asciiTheme="minorEastAsia" w:hAnsiTheme="minorEastAsia"/>
          <w:b/>
          <w:bCs/>
          <w:szCs w:val="21"/>
        </w:rPr>
      </w:pPr>
      <w:r>
        <w:rPr>
          <w:rFonts w:cs="Times New Roman" w:asciiTheme="minorEastAsia" w:hAnsiTheme="minorEastAsia"/>
          <w:b/>
          <w:szCs w:val="21"/>
        </w:rPr>
        <w:t>一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课程基本信息</w:t>
      </w:r>
    </w:p>
    <w:p w14:paraId="2217EBE1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</w:t>
      </w:r>
      <w:r>
        <w:rPr>
          <w:rFonts w:cs="Times New Roman" w:asciiTheme="minorEastAsia" w:hAnsiTheme="minorEastAsia"/>
          <w:szCs w:val="21"/>
        </w:rPr>
        <w:t>课程代码：</w:t>
      </w:r>
      <w:r>
        <w:rPr>
          <w:rFonts w:cs="Times New Roman" w:asciiTheme="minorEastAsia" w:hAnsiTheme="minorEastAsia"/>
          <w:color w:val="FF0000"/>
          <w:szCs w:val="21"/>
        </w:rPr>
        <w:t>（教务管理系统里对应的课程代码）</w:t>
      </w:r>
    </w:p>
    <w:p w14:paraId="0AC0E425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</w:t>
      </w:r>
      <w:r>
        <w:rPr>
          <w:rFonts w:cs="Times New Roman" w:asciiTheme="minorEastAsia" w:hAnsiTheme="minorEastAsia"/>
          <w:szCs w:val="21"/>
        </w:rPr>
        <w:t>课程名称：</w:t>
      </w:r>
      <w:r>
        <w:rPr>
          <w:rFonts w:cs="Times New Roman" w:asciiTheme="minorEastAsia" w:hAnsiTheme="minorEastAsia"/>
          <w:color w:val="FF0000"/>
          <w:szCs w:val="21"/>
        </w:rPr>
        <w:t>（中文/英文）</w:t>
      </w:r>
    </w:p>
    <w:p w14:paraId="24FD04E8">
      <w:pPr>
        <w:snapToGrid w:val="0"/>
        <w:spacing w:line="360" w:lineRule="exact"/>
        <w:ind w:left="1680" w:leftChars="200" w:hanging="1260" w:hangingChars="6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</w:t>
      </w:r>
      <w:r>
        <w:rPr>
          <w:rFonts w:cs="Times New Roman" w:asciiTheme="minorEastAsia" w:hAnsiTheme="minorEastAsia"/>
          <w:szCs w:val="21"/>
        </w:rPr>
        <w:t>课程类别：</w:t>
      </w:r>
      <w:r>
        <w:rPr>
          <w:rFonts w:hint="eastAsia" w:cs="Times New Roman" w:asciiTheme="minorEastAsia" w:hAnsiTheme="minorEastAsia"/>
          <w:szCs w:val="21"/>
        </w:rPr>
        <w:t>/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color w:val="FF0000"/>
          <w:szCs w:val="21"/>
        </w:rPr>
        <w:t>（公共课</w:t>
      </w:r>
      <w:r>
        <w:rPr>
          <w:rFonts w:cs="Times New Roman" w:asciiTheme="minorEastAsia" w:hAnsiTheme="minorEastAsia"/>
          <w:color w:val="FF0000"/>
          <w:szCs w:val="21"/>
        </w:rPr>
        <w:t>/</w:t>
      </w:r>
      <w:r>
        <w:rPr>
          <w:rFonts w:hint="eastAsia" w:cs="Times New Roman" w:asciiTheme="minorEastAsia" w:hAnsiTheme="minorEastAsia"/>
          <w:color w:val="FF0000"/>
          <w:szCs w:val="21"/>
        </w:rPr>
        <w:t>（通识必修课程、通识选修课程）；专业课</w:t>
      </w:r>
      <w:r>
        <w:rPr>
          <w:rFonts w:cs="Times New Roman" w:asciiTheme="minorEastAsia" w:hAnsiTheme="minorEastAsia"/>
          <w:color w:val="FF0000"/>
          <w:szCs w:val="21"/>
        </w:rPr>
        <w:t>/</w:t>
      </w:r>
      <w:r>
        <w:rPr>
          <w:rFonts w:hint="eastAsia" w:cs="Times New Roman" w:asciiTheme="minorEastAsia" w:hAnsiTheme="minorEastAsia"/>
          <w:color w:val="FF0000"/>
          <w:szCs w:val="21"/>
        </w:rPr>
        <w:t>（专业基础课程、专业核心课程、专业选修课程、跨专业融合课程、实践与创新教育课））</w:t>
      </w:r>
    </w:p>
    <w:p w14:paraId="19B20B3B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4.</w:t>
      </w:r>
      <w:r>
        <w:rPr>
          <w:rFonts w:cs="Times New Roman" w:asciiTheme="minorEastAsia" w:hAnsiTheme="minorEastAsia"/>
          <w:szCs w:val="21"/>
        </w:rPr>
        <w:t>学分/总学时：</w:t>
      </w:r>
      <w:r>
        <w:rPr>
          <w:rFonts w:hint="eastAsia" w:cs="Times New Roman" w:asciiTheme="minorEastAsia" w:hAnsiTheme="minorEastAsia"/>
          <w:szCs w:val="21"/>
        </w:rPr>
        <w:t xml:space="preserve">/   </w:t>
      </w:r>
    </w:p>
    <w:p w14:paraId="5E658CD4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5.</w:t>
      </w:r>
      <w:r>
        <w:rPr>
          <w:rFonts w:cs="Times New Roman" w:asciiTheme="minorEastAsia" w:hAnsiTheme="minorEastAsia"/>
          <w:szCs w:val="21"/>
        </w:rPr>
        <w:t>面向对象：</w:t>
      </w:r>
      <w:r>
        <w:rPr>
          <w:rFonts w:hint="eastAsia" w:cs="Times New Roman" w:asciiTheme="minorEastAsia" w:hAnsiTheme="minorEastAsia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FF0000"/>
          <w:szCs w:val="21"/>
        </w:rPr>
        <w:t>（XX专业、各专业、除XX专业以外的各专业）</w:t>
      </w:r>
    </w:p>
    <w:p w14:paraId="78D89C45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6.</w:t>
      </w:r>
      <w:r>
        <w:rPr>
          <w:rFonts w:cs="Times New Roman" w:asciiTheme="minorEastAsia" w:hAnsiTheme="minorEastAsia"/>
          <w:szCs w:val="21"/>
        </w:rPr>
        <w:t>先修课程：</w:t>
      </w:r>
    </w:p>
    <w:p w14:paraId="28EFFB8E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7.</w:t>
      </w:r>
      <w:r>
        <w:rPr>
          <w:rFonts w:cs="Times New Roman" w:asciiTheme="minorEastAsia" w:hAnsiTheme="minorEastAsia"/>
          <w:szCs w:val="21"/>
        </w:rPr>
        <w:t>后</w:t>
      </w:r>
      <w:r>
        <w:rPr>
          <w:rFonts w:hint="eastAsia" w:cs="Times New Roman" w:asciiTheme="minorEastAsia" w:hAnsiTheme="minorEastAsia"/>
          <w:szCs w:val="21"/>
        </w:rPr>
        <w:t>续</w:t>
      </w:r>
      <w:r>
        <w:rPr>
          <w:rFonts w:cs="Times New Roman" w:asciiTheme="minorEastAsia" w:hAnsiTheme="minorEastAsia"/>
          <w:szCs w:val="21"/>
        </w:rPr>
        <w:t>课程：</w:t>
      </w:r>
    </w:p>
    <w:p w14:paraId="19922D10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（正文：宋体、五号、固定值18磅行距）</w:t>
      </w:r>
    </w:p>
    <w:p w14:paraId="17D77450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二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课程简介</w:t>
      </w:r>
    </w:p>
    <w:p w14:paraId="3F95EF10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课程简介要注重落实教育部《高等学校课程思政建设指导纲要》精神，把课程思政作为教学大纲撰写的重要内容。描述本</w:t>
      </w:r>
      <w:r>
        <w:rPr>
          <w:rFonts w:cs="Times New Roman" w:asciiTheme="minorEastAsia" w:hAnsiTheme="minorEastAsia"/>
          <w:color w:val="FF0000"/>
          <w:szCs w:val="21"/>
        </w:rPr>
        <w:t>课程在该专业课程体系中的地位、作用和学生的学习任务</w:t>
      </w:r>
      <w:r>
        <w:rPr>
          <w:rFonts w:hint="eastAsia" w:cs="Times New Roman" w:asciiTheme="minorEastAsia" w:hAnsiTheme="minorEastAsia"/>
          <w:color w:val="FF0000"/>
          <w:szCs w:val="21"/>
        </w:rPr>
        <w:t>，使学生了解将学到的知识以及需要掌握的能力。</w:t>
      </w: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（正文：宋体、五号、固定值18磅行距，限100-150字。）</w:t>
      </w:r>
    </w:p>
    <w:p w14:paraId="76011605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三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课程教学目标和能力要求</w:t>
      </w:r>
    </w:p>
    <w:p w14:paraId="22B6BC86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编写建议：描述本课程对应的毕业要求指标点、课程目标及能力要求。应按照培养方案中“毕业要求-课程体系”对应矩阵撰写。</w:t>
      </w:r>
    </w:p>
    <w:p w14:paraId="576B1A26">
      <w:pPr>
        <w:widowControl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明确学生的学习目标，以及学生在知识、能力、素质三个领域确定的课程修读要求，结合专业培养方案中的毕业要求撰写</w:t>
      </w:r>
      <w:r>
        <w:rPr>
          <w:rFonts w:hint="eastAsia" w:cs="Times New Roman" w:asciiTheme="minorEastAsia" w:hAnsiTheme="minorEastAsia"/>
          <w:color w:val="FF0000"/>
          <w:szCs w:val="21"/>
        </w:rPr>
        <w:t>，</w:t>
      </w:r>
      <w:r>
        <w:rPr>
          <w:rFonts w:cs="Times New Roman" w:asciiTheme="minorEastAsia" w:hAnsiTheme="minorEastAsia"/>
          <w:color w:val="FF0000"/>
          <w:szCs w:val="21"/>
        </w:rPr>
        <w:t>陈述须从学生的角度出发。（正文：宋体、五号、固定值18磅行距）</w:t>
      </w:r>
    </w:p>
    <w:p w14:paraId="42D709DB">
      <w:pPr>
        <w:widowControl/>
        <w:spacing w:line="360" w:lineRule="exact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本课程的教学目的是让学生掌握……，通过学习，</w:t>
      </w:r>
      <w:r>
        <w:rPr>
          <w:rFonts w:hint="eastAsia" w:cs="宋体" w:asciiTheme="minorEastAsia" w:hAnsiTheme="minorEastAsia"/>
          <w:szCs w:val="21"/>
        </w:rPr>
        <w:t>使学生具备</w:t>
      </w:r>
      <w:r>
        <w:rPr>
          <w:rFonts w:hint="eastAsia" w:cs="Times New Roman" w:asciiTheme="minorEastAsia" w:hAnsiTheme="minorEastAsia"/>
          <w:szCs w:val="21"/>
        </w:rPr>
        <w:t>……能力。</w:t>
      </w:r>
    </w:p>
    <w:p w14:paraId="4EA1FF88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根据课程特点和对毕业要求的贡献度</w:t>
      </w:r>
      <w:r>
        <w:rPr>
          <w:rFonts w:hint="eastAsia" w:cs="宋体" w:asciiTheme="minorEastAsia" w:hAnsiTheme="minorEastAsia"/>
          <w:szCs w:val="21"/>
        </w:rPr>
        <w:t>，</w:t>
      </w:r>
      <w:r>
        <w:rPr>
          <w:rFonts w:cs="宋体" w:asciiTheme="minorEastAsia" w:hAnsiTheme="minorEastAsia"/>
          <w:szCs w:val="21"/>
        </w:rPr>
        <w:t>设定课程目标为</w:t>
      </w:r>
      <w:r>
        <w:rPr>
          <w:rFonts w:hint="eastAsia" w:cs="宋体" w:asciiTheme="minorEastAsia" w:hAnsiTheme="minorEastAsia"/>
          <w:szCs w:val="21"/>
        </w:rPr>
        <w:t>：</w:t>
      </w:r>
      <w:r>
        <w:rPr>
          <w:rFonts w:cs="宋体" w:asciiTheme="minorEastAsia" w:hAnsiTheme="minorEastAsia"/>
          <w:szCs w:val="21"/>
        </w:rPr>
        <w:t xml:space="preserve"> </w:t>
      </w:r>
    </w:p>
    <w:p w14:paraId="37D4F09B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CO1：</w:t>
      </w:r>
    </w:p>
    <w:p w14:paraId="7F1F28DF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CO2：</w:t>
      </w:r>
    </w:p>
    <w:p w14:paraId="696FE68D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……</w:t>
      </w:r>
    </w:p>
    <w:p w14:paraId="04EC8CAA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COj：</w:t>
      </w:r>
    </w:p>
    <w:p w14:paraId="01DCF648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以上课程目标与毕业要求指标点的对应关系如表</w:t>
      </w:r>
      <w:r>
        <w:rPr>
          <w:rFonts w:hint="eastAsia" w:cs="Times New Roman" w:asciiTheme="minorEastAsia" w:hAnsiTheme="minorEastAsia"/>
          <w:szCs w:val="21"/>
        </w:rPr>
        <w:t>3-</w:t>
      </w:r>
      <w:r>
        <w:rPr>
          <w:rFonts w:cs="Times New Roman" w:asciiTheme="minorEastAsia" w:hAnsiTheme="minorEastAsia"/>
          <w:szCs w:val="21"/>
        </w:rPr>
        <w:t>1所示</w:t>
      </w:r>
      <w:r>
        <w:rPr>
          <w:rFonts w:hint="eastAsia" w:cs="Times New Roman" w:asciiTheme="minorEastAsia" w:hAnsiTheme="minorEastAsia"/>
          <w:szCs w:val="21"/>
        </w:rPr>
        <w:t>：</w:t>
      </w:r>
    </w:p>
    <w:p w14:paraId="14E0D531">
      <w:pPr>
        <w:spacing w:line="360" w:lineRule="exact"/>
        <w:jc w:val="center"/>
        <w:rPr>
          <w:rFonts w:cs="Times New Roman" w:asciiTheme="minorEastAsia" w:hAnsiTheme="minorEastAsia"/>
          <w:b/>
          <w:color w:val="000000"/>
          <w:szCs w:val="21"/>
        </w:rPr>
      </w:pPr>
    </w:p>
    <w:p w14:paraId="105F72A7">
      <w:pPr>
        <w:spacing w:line="360" w:lineRule="exact"/>
        <w:jc w:val="center"/>
        <w:rPr>
          <w:rFonts w:cs="Times New Roman" w:asciiTheme="minorEastAsia" w:hAnsiTheme="minorEastAsia"/>
          <w:b/>
          <w:color w:val="000000"/>
          <w:szCs w:val="21"/>
        </w:rPr>
      </w:pPr>
    </w:p>
    <w:p w14:paraId="38BE1D7A">
      <w:pPr>
        <w:spacing w:line="360" w:lineRule="exact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表3-1  课程目标（Course Object，CO）与毕业要求指标点对应关系</w:t>
      </w:r>
    </w:p>
    <w:tbl>
      <w:tblPr>
        <w:tblStyle w:val="7"/>
        <w:tblW w:w="4881" w:type="pct"/>
        <w:tblInd w:w="2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72"/>
        <w:gridCol w:w="752"/>
        <w:gridCol w:w="1047"/>
        <w:gridCol w:w="937"/>
        <w:gridCol w:w="960"/>
        <w:gridCol w:w="1279"/>
        <w:gridCol w:w="917"/>
      </w:tblGrid>
      <w:tr w14:paraId="670D4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94" w:type="pct"/>
            <w:vAlign w:val="center"/>
          </w:tcPr>
          <w:p w14:paraId="707D9C9F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065" w:type="pct"/>
            <w:tcBorders>
              <w:tl2br w:val="single" w:color="auto" w:sz="4" w:space="0"/>
            </w:tcBorders>
            <w:vAlign w:val="center"/>
          </w:tcPr>
          <w:p w14:paraId="1DEE6EA8">
            <w:pPr>
              <w:spacing w:line="360" w:lineRule="exact"/>
              <w:jc w:val="righ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课程目标</w:t>
            </w:r>
          </w:p>
          <w:p w14:paraId="5F17F646">
            <w:pPr>
              <w:spacing w:line="36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毕业要求指标点</w:t>
            </w:r>
          </w:p>
        </w:tc>
        <w:tc>
          <w:tcPr>
            <w:tcW w:w="452" w:type="pct"/>
            <w:tcBorders>
              <w:right w:val="single" w:color="auto" w:sz="4" w:space="0"/>
            </w:tcBorders>
            <w:vAlign w:val="center"/>
          </w:tcPr>
          <w:p w14:paraId="354FD411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CO1</w:t>
            </w:r>
          </w:p>
        </w:tc>
        <w:tc>
          <w:tcPr>
            <w:tcW w:w="6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75496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CO2</w:t>
            </w:r>
          </w:p>
        </w:tc>
        <w:tc>
          <w:tcPr>
            <w:tcW w:w="5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4D21D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CO3</w:t>
            </w:r>
          </w:p>
        </w:tc>
        <w:tc>
          <w:tcPr>
            <w:tcW w:w="5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D714A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CO4</w:t>
            </w:r>
          </w:p>
        </w:tc>
        <w:tc>
          <w:tcPr>
            <w:tcW w:w="769" w:type="pct"/>
            <w:tcBorders>
              <w:left w:val="single" w:color="auto" w:sz="4" w:space="0"/>
            </w:tcBorders>
            <w:vAlign w:val="center"/>
          </w:tcPr>
          <w:p w14:paraId="1FAFD3B0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553" w:type="pct"/>
            <w:vAlign w:val="center"/>
          </w:tcPr>
          <w:p w14:paraId="3758DC6E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COj</w:t>
            </w:r>
          </w:p>
        </w:tc>
      </w:tr>
      <w:tr w14:paraId="42FA3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 w14:paraId="0414F677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1065" w:type="pct"/>
            <w:vAlign w:val="center"/>
          </w:tcPr>
          <w:p w14:paraId="333FEBBA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毕业要求1.2</w:t>
            </w:r>
          </w:p>
        </w:tc>
        <w:tc>
          <w:tcPr>
            <w:tcW w:w="452" w:type="pct"/>
            <w:tcBorders>
              <w:right w:val="single" w:color="auto" w:sz="4" w:space="0"/>
            </w:tcBorders>
            <w:vAlign w:val="center"/>
          </w:tcPr>
          <w:p w14:paraId="364316C3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√</w:t>
            </w:r>
          </w:p>
        </w:tc>
        <w:tc>
          <w:tcPr>
            <w:tcW w:w="6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D08A9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222B9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AD931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9" w:type="pct"/>
            <w:tcBorders>
              <w:left w:val="single" w:color="auto" w:sz="4" w:space="0"/>
            </w:tcBorders>
            <w:vAlign w:val="center"/>
          </w:tcPr>
          <w:p w14:paraId="73BAF94D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66FAEA45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436EB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 w14:paraId="1420B8B7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1065" w:type="pct"/>
            <w:vAlign w:val="center"/>
          </w:tcPr>
          <w:p w14:paraId="465AF6E8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毕业要求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3.1</w:t>
            </w:r>
          </w:p>
        </w:tc>
        <w:tc>
          <w:tcPr>
            <w:tcW w:w="452" w:type="pct"/>
            <w:tcBorders>
              <w:right w:val="single" w:color="auto" w:sz="4" w:space="0"/>
            </w:tcBorders>
            <w:vAlign w:val="center"/>
          </w:tcPr>
          <w:p w14:paraId="2ABF057D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6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252C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E188B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√</w:t>
            </w:r>
          </w:p>
        </w:tc>
        <w:tc>
          <w:tcPr>
            <w:tcW w:w="5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089B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9" w:type="pct"/>
            <w:tcBorders>
              <w:left w:val="single" w:color="auto" w:sz="4" w:space="0"/>
            </w:tcBorders>
            <w:vAlign w:val="center"/>
          </w:tcPr>
          <w:p w14:paraId="159F85F3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23E280AA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562C0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 w14:paraId="091DDB48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1065" w:type="pct"/>
            <w:vAlign w:val="center"/>
          </w:tcPr>
          <w:p w14:paraId="59720DD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452" w:type="pct"/>
            <w:tcBorders>
              <w:right w:val="single" w:color="auto" w:sz="4" w:space="0"/>
            </w:tcBorders>
            <w:vAlign w:val="center"/>
          </w:tcPr>
          <w:p w14:paraId="07897275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6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8B05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10E0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342DD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9" w:type="pct"/>
            <w:tcBorders>
              <w:left w:val="single" w:color="auto" w:sz="4" w:space="0"/>
            </w:tcBorders>
            <w:vAlign w:val="center"/>
          </w:tcPr>
          <w:p w14:paraId="2BB8CD7C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6BAFE689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293B1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 w14:paraId="718DC312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1065" w:type="pct"/>
            <w:vAlign w:val="center"/>
          </w:tcPr>
          <w:p w14:paraId="66817762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452" w:type="pct"/>
            <w:tcBorders>
              <w:right w:val="single" w:color="auto" w:sz="4" w:space="0"/>
            </w:tcBorders>
            <w:vAlign w:val="center"/>
          </w:tcPr>
          <w:p w14:paraId="0FCDCF89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6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F6195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F6E6B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BB7D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9" w:type="pct"/>
            <w:tcBorders>
              <w:left w:val="single" w:color="auto" w:sz="4" w:space="0"/>
            </w:tcBorders>
            <w:vAlign w:val="center"/>
          </w:tcPr>
          <w:p w14:paraId="04F7A891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2C0A7BC6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</w:tbl>
    <w:p w14:paraId="76CD0339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四</w:t>
      </w:r>
      <w:r>
        <w:rPr>
          <w:rFonts w:hint="eastAsia" w:cs="Times New Roman" w:asciiTheme="minorEastAsia" w:hAnsiTheme="minorEastAsia"/>
          <w:b/>
          <w:szCs w:val="21"/>
        </w:rPr>
        <w:t>、课程</w:t>
      </w:r>
      <w:r>
        <w:rPr>
          <w:rFonts w:cs="Times New Roman" w:asciiTheme="minorEastAsia" w:hAnsiTheme="minorEastAsia"/>
          <w:b/>
          <w:szCs w:val="21"/>
        </w:rPr>
        <w:t>教</w:t>
      </w:r>
      <w:r>
        <w:rPr>
          <w:rFonts w:hint="eastAsia" w:cs="Times New Roman" w:asciiTheme="minorEastAsia" w:hAnsiTheme="minorEastAsia"/>
          <w:b/>
          <w:szCs w:val="21"/>
        </w:rPr>
        <w:t>学方法和课堂形式实施建议</w:t>
      </w:r>
    </w:p>
    <w:p w14:paraId="3201867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编写建议：课程教学</w:t>
      </w:r>
      <w:r>
        <w:rPr>
          <w:rFonts w:hint="eastAsia" w:cs="Times New Roman" w:asciiTheme="minorEastAsia" w:hAnsiTheme="minorEastAsia"/>
          <w:color w:val="FF0000"/>
          <w:szCs w:val="21"/>
        </w:rPr>
        <w:t>要结合课程特点，按照以学为中心的教学理念，充分体现参与式教学设计，明确课程教学方法和课堂形式。课程教学方法包括</w:t>
      </w:r>
      <w:r>
        <w:rPr>
          <w:rFonts w:cs="Times New Roman" w:asciiTheme="minorEastAsia" w:hAnsiTheme="minorEastAsia"/>
          <w:color w:val="FF0000"/>
          <w:szCs w:val="21"/>
        </w:rPr>
        <w:t>教师讲授、师生研讨、网络教学、分组讨论、实践教学等多种方法</w:t>
      </w:r>
      <w:r>
        <w:rPr>
          <w:rFonts w:hint="eastAsia" w:cs="Times New Roman" w:asciiTheme="minorEastAsia" w:hAnsiTheme="minorEastAsia"/>
          <w:color w:val="FF0000"/>
          <w:szCs w:val="21"/>
        </w:rPr>
        <w:t>；课堂形式包括线下、线上、线上线下混合、翻转课堂、虚拟仿真、案例讨论、实验实训等形式</w:t>
      </w:r>
      <w:r>
        <w:rPr>
          <w:rFonts w:cs="Times New Roman" w:asciiTheme="minorEastAsia" w:hAnsiTheme="minorEastAsia"/>
          <w:color w:val="FF0000"/>
          <w:szCs w:val="21"/>
        </w:rPr>
        <w:t>。（正文：宋体、五号、固定值18磅行距）</w:t>
      </w:r>
    </w:p>
    <w:p w14:paraId="46E3A0E4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五、</w:t>
      </w:r>
      <w:r>
        <w:rPr>
          <w:rFonts w:cs="Times New Roman" w:asciiTheme="minorEastAsia" w:hAnsiTheme="minorEastAsia"/>
          <w:b/>
          <w:szCs w:val="21"/>
        </w:rPr>
        <w:t>课程内容及教学安排</w:t>
      </w:r>
    </w:p>
    <w:p w14:paraId="3D479518">
      <w:pPr>
        <w:spacing w:line="360" w:lineRule="exact"/>
        <w:ind w:firstLine="420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bookmarkStart w:id="0" w:name="_Hlk165272356"/>
      <w:r>
        <w:rPr>
          <w:rFonts w:hint="eastAsia" w:cs="Times New Roman" w:asciiTheme="minorEastAsia" w:hAnsiTheme="minorEastAsia"/>
          <w:color w:val="FF0000"/>
          <w:szCs w:val="21"/>
        </w:rPr>
        <w:t>课程思政要落实到实验教学环节。</w:t>
      </w:r>
      <w:bookmarkEnd w:id="0"/>
      <w:r>
        <w:rPr>
          <w:rFonts w:cs="Times New Roman" w:asciiTheme="minorEastAsia" w:hAnsiTheme="minorEastAsia"/>
          <w:color w:val="FF0000"/>
          <w:szCs w:val="21"/>
        </w:rPr>
        <w:t>从</w:t>
      </w:r>
      <w:r>
        <w:rPr>
          <w:rFonts w:hint="eastAsia" w:cs="Times New Roman" w:asciiTheme="minorEastAsia" w:hAnsiTheme="minorEastAsia"/>
          <w:color w:val="FF0000"/>
          <w:szCs w:val="21"/>
        </w:rPr>
        <w:t>实验（实践）单元、教学内容（知识点）、教学目标（含课程思政）、对应课程目标、类型、要求及学时分配</w:t>
      </w:r>
      <w:r>
        <w:rPr>
          <w:rFonts w:cs="Times New Roman" w:asciiTheme="minorEastAsia" w:hAnsiTheme="minorEastAsia"/>
          <w:color w:val="FF0000"/>
          <w:szCs w:val="21"/>
        </w:rPr>
        <w:t>等方面撰写。（正文：宋体、五号、固定值18磅行距）</w:t>
      </w:r>
    </w:p>
    <w:p w14:paraId="64A20CDC">
      <w:pPr>
        <w:adjustRightInd w:val="0"/>
        <w:spacing w:line="360" w:lineRule="auto"/>
        <w:jc w:val="center"/>
        <w:rPr>
          <w:rFonts w:cs="Times New Roman" w:asciiTheme="minorEastAsia" w:hAnsiTheme="minorEastAsia"/>
          <w:b/>
          <w:color w:val="000000"/>
          <w:szCs w:val="21"/>
        </w:rPr>
      </w:pPr>
      <w:bookmarkStart w:id="1" w:name="_Hlk166060634"/>
      <w:r>
        <w:rPr>
          <w:rFonts w:cs="Times New Roman" w:asciiTheme="minorEastAsia" w:hAnsiTheme="minorEastAsia"/>
          <w:b/>
          <w:color w:val="000000"/>
          <w:szCs w:val="21"/>
        </w:rPr>
        <w:t>表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5</w:t>
      </w:r>
      <w:r>
        <w:rPr>
          <w:rFonts w:cs="Times New Roman" w:asciiTheme="minorEastAsia" w:hAnsiTheme="minorEastAsia"/>
          <w:b/>
          <w:color w:val="000000"/>
          <w:szCs w:val="21"/>
        </w:rPr>
        <w:t>-</w:t>
      </w:r>
      <w:bookmarkStart w:id="2" w:name="_Hlk165272189"/>
      <w:bookmarkStart w:id="3" w:name="_Hlk165579337"/>
      <w:r>
        <w:rPr>
          <w:rFonts w:hint="eastAsia" w:cs="Times New Roman" w:asciiTheme="minorEastAsia" w:hAnsiTheme="minorEastAsia"/>
          <w:b/>
          <w:color w:val="000000"/>
          <w:szCs w:val="21"/>
        </w:rPr>
        <w:t>1 实验（实践）</w:t>
      </w:r>
      <w:r>
        <w:rPr>
          <w:rFonts w:cs="Times New Roman" w:asciiTheme="minorEastAsia" w:hAnsiTheme="minorEastAsia"/>
          <w:b/>
          <w:color w:val="000000"/>
          <w:szCs w:val="21"/>
        </w:rPr>
        <w:t>单元</w:t>
      </w:r>
      <w:bookmarkEnd w:id="2"/>
      <w:r>
        <w:rPr>
          <w:rFonts w:cs="Times New Roman" w:asciiTheme="minorEastAsia" w:hAnsiTheme="minorEastAsia"/>
          <w:b/>
          <w:color w:val="000000"/>
          <w:szCs w:val="21"/>
        </w:rPr>
        <w:t>、教学内容、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教学目标、</w:t>
      </w:r>
      <w:r>
        <w:rPr>
          <w:rFonts w:cs="Times New Roman" w:asciiTheme="minorEastAsia" w:hAnsiTheme="minorEastAsia"/>
          <w:b/>
          <w:color w:val="000000"/>
          <w:szCs w:val="21"/>
        </w:rPr>
        <w:t>课程目标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、类型、要求</w:t>
      </w:r>
      <w:r>
        <w:rPr>
          <w:rFonts w:cs="Times New Roman" w:asciiTheme="minorEastAsia" w:hAnsiTheme="minorEastAsia"/>
          <w:b/>
          <w:color w:val="000000"/>
          <w:szCs w:val="21"/>
        </w:rPr>
        <w:t>及学时分配</w:t>
      </w:r>
    </w:p>
    <w:p w14:paraId="37D438C7">
      <w:pPr>
        <w:adjustRightInd w:val="0"/>
        <w:spacing w:line="360" w:lineRule="auto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对应关系</w:t>
      </w:r>
    </w:p>
    <w:bookmarkEnd w:id="3"/>
    <w:tbl>
      <w:tblPr>
        <w:tblStyle w:val="8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843"/>
        <w:gridCol w:w="709"/>
        <w:gridCol w:w="1134"/>
        <w:gridCol w:w="1134"/>
        <w:gridCol w:w="708"/>
      </w:tblGrid>
      <w:tr w14:paraId="1600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392F080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4" w:name="_Hlk165579906"/>
            <w:bookmarkStart w:id="5" w:name="_Hlk165579603"/>
            <w:r>
              <w:rPr>
                <w:rFonts w:hint="eastAsia" w:cs="Times New Roman" w:asciiTheme="minorEastAsia" w:hAnsiTheme="minorEastAsia"/>
                <w:szCs w:val="21"/>
              </w:rPr>
              <w:t>实验</w:t>
            </w:r>
          </w:p>
          <w:p w14:paraId="17213FE9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（实践）单元</w:t>
            </w:r>
          </w:p>
        </w:tc>
        <w:tc>
          <w:tcPr>
            <w:tcW w:w="1843" w:type="dxa"/>
          </w:tcPr>
          <w:p w14:paraId="719D8636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教学内容</w:t>
            </w:r>
          </w:p>
          <w:p w14:paraId="4332CB24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（知识点）</w:t>
            </w:r>
          </w:p>
        </w:tc>
        <w:tc>
          <w:tcPr>
            <w:tcW w:w="1843" w:type="dxa"/>
          </w:tcPr>
          <w:p w14:paraId="0EA7F1EF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教学目标</w:t>
            </w:r>
          </w:p>
          <w:p w14:paraId="5BF906BC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（含课程思政）</w:t>
            </w:r>
          </w:p>
        </w:tc>
        <w:tc>
          <w:tcPr>
            <w:tcW w:w="709" w:type="dxa"/>
          </w:tcPr>
          <w:p w14:paraId="7B843AE0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对应课程目标</w:t>
            </w:r>
          </w:p>
        </w:tc>
        <w:tc>
          <w:tcPr>
            <w:tcW w:w="1134" w:type="dxa"/>
          </w:tcPr>
          <w:p w14:paraId="1AD3A8C0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</w:t>
            </w:r>
          </w:p>
          <w:p w14:paraId="44FD8D84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（实践）</w:t>
            </w:r>
          </w:p>
          <w:p w14:paraId="4E2ACA88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类型</w:t>
            </w:r>
          </w:p>
        </w:tc>
        <w:tc>
          <w:tcPr>
            <w:tcW w:w="1134" w:type="dxa"/>
          </w:tcPr>
          <w:p w14:paraId="5AA8AB7B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</w:t>
            </w:r>
          </w:p>
          <w:p w14:paraId="13C772F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（实践）</w:t>
            </w:r>
          </w:p>
          <w:p w14:paraId="65931D90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要求</w:t>
            </w:r>
          </w:p>
        </w:tc>
        <w:tc>
          <w:tcPr>
            <w:tcW w:w="708" w:type="dxa"/>
          </w:tcPr>
          <w:p w14:paraId="57E20C5B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学时分配</w:t>
            </w:r>
          </w:p>
        </w:tc>
      </w:tr>
      <w:bookmarkEnd w:id="4"/>
      <w:tr w14:paraId="5BD7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 w14:paraId="3AA7748E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实验（实践）一</w:t>
            </w:r>
          </w:p>
        </w:tc>
        <w:tc>
          <w:tcPr>
            <w:tcW w:w="1843" w:type="dxa"/>
          </w:tcPr>
          <w:p w14:paraId="452F30BF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3E6DDBF7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1843" w:type="dxa"/>
            <w:vMerge w:val="restart"/>
          </w:tcPr>
          <w:p w14:paraId="179C5EA3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4E746C3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vMerge w:val="restart"/>
          </w:tcPr>
          <w:p w14:paraId="1792A5D9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6FF124B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14:paraId="111B3543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7518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651985A5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1F28E994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1843" w:type="dxa"/>
            <w:vMerge w:val="continue"/>
          </w:tcPr>
          <w:p w14:paraId="7F95960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8AA4EE9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28A2008F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69FC4577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continue"/>
          </w:tcPr>
          <w:p w14:paraId="0E01C61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0F0E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3D70BC4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28F31C40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1843" w:type="dxa"/>
            <w:vMerge w:val="continue"/>
          </w:tcPr>
          <w:p w14:paraId="118F88C9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A7F5013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112FC69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70E15E19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continue"/>
          </w:tcPr>
          <w:p w14:paraId="10E3D27B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7FC0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 w14:paraId="3877A5A2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实验（实践）二</w:t>
            </w:r>
          </w:p>
        </w:tc>
        <w:tc>
          <w:tcPr>
            <w:tcW w:w="1843" w:type="dxa"/>
          </w:tcPr>
          <w:p w14:paraId="611A1B21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418FB4AE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1843" w:type="dxa"/>
            <w:vMerge w:val="restart"/>
          </w:tcPr>
          <w:p w14:paraId="41133C12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9F4559C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1134" w:type="dxa"/>
            <w:vMerge w:val="restart"/>
          </w:tcPr>
          <w:p w14:paraId="4D84F7B2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011F4015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14:paraId="26EA25FF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2AF0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119F62C6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2A9CF044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1843" w:type="dxa"/>
            <w:vMerge w:val="continue"/>
          </w:tcPr>
          <w:p w14:paraId="61BA2C3B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E3FB0DF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2C7121E5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0B2E2197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continue"/>
          </w:tcPr>
          <w:p w14:paraId="03CB57B4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1411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604F5251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5E15DB7E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1843" w:type="dxa"/>
            <w:vMerge w:val="continue"/>
          </w:tcPr>
          <w:p w14:paraId="07926A76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70AE3BF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17CFD6AE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1B6B7ED8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continue"/>
          </w:tcPr>
          <w:p w14:paraId="05EDEFB3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4A88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 w14:paraId="7ABFE338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实验（实践）三</w:t>
            </w:r>
          </w:p>
        </w:tc>
        <w:tc>
          <w:tcPr>
            <w:tcW w:w="1843" w:type="dxa"/>
          </w:tcPr>
          <w:p w14:paraId="2E7CD39B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05CEA952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1843" w:type="dxa"/>
            <w:vMerge w:val="restart"/>
          </w:tcPr>
          <w:p w14:paraId="6442514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F3419BB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1134" w:type="dxa"/>
            <w:vMerge w:val="restart"/>
          </w:tcPr>
          <w:p w14:paraId="6CCC0315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699F28E6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14:paraId="19F0EB87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3077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6E59E7B6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0A1B33A5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1843" w:type="dxa"/>
            <w:vMerge w:val="continue"/>
          </w:tcPr>
          <w:p w14:paraId="5099049A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</w:tcPr>
          <w:p w14:paraId="1952629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089DCC46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28B2457D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continue"/>
          </w:tcPr>
          <w:p w14:paraId="5A209EC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25A9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6A72F80E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57A3269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1843" w:type="dxa"/>
            <w:vMerge w:val="continue"/>
          </w:tcPr>
          <w:p w14:paraId="290BA80D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F3ABB9C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</w:tcPr>
          <w:p w14:paraId="4B3C350D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</w:tcPr>
          <w:p w14:paraId="5FCC0458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 w14:paraId="30CF8EE5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bookmarkEnd w:id="1"/>
      <w:bookmarkEnd w:id="5"/>
    </w:tbl>
    <w:p w14:paraId="77C77678"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注：</w:t>
      </w:r>
      <w:bookmarkStart w:id="6" w:name="_Hlk165581496"/>
      <w:r>
        <w:rPr>
          <w:rFonts w:hint="eastAsia" w:cs="Times New Roman" w:asciiTheme="minorEastAsia" w:hAnsiTheme="minorEastAsia"/>
          <w:szCs w:val="21"/>
        </w:rPr>
        <w:t>1.知识点及要求须通过“了解”、“熟悉”、“掌握”等词汇来描述；</w:t>
      </w:r>
    </w:p>
    <w:p w14:paraId="3A18D6E0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</w:t>
      </w:r>
      <w:r>
        <w:rPr>
          <w:rFonts w:cs="Times New Roman" w:asciiTheme="minorEastAsia" w:hAnsiTheme="minorEastAsia"/>
          <w:szCs w:val="21"/>
        </w:rPr>
        <w:t>实验</w:t>
      </w:r>
      <w:r>
        <w:rPr>
          <w:rFonts w:hint="eastAsia" w:cs="Times New Roman" w:asciiTheme="minorEastAsia" w:hAnsiTheme="minorEastAsia"/>
          <w:szCs w:val="21"/>
        </w:rPr>
        <w:t>（实践）</w:t>
      </w:r>
      <w:r>
        <w:rPr>
          <w:rFonts w:cs="Times New Roman" w:asciiTheme="minorEastAsia" w:hAnsiTheme="minorEastAsia"/>
          <w:szCs w:val="21"/>
        </w:rPr>
        <w:t>类型包括演示性、验证性、综合性、设计性、研究性等；</w:t>
      </w:r>
    </w:p>
    <w:p w14:paraId="65F81DD3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实验（实践）</w:t>
      </w:r>
      <w:r>
        <w:rPr>
          <w:rFonts w:cs="Times New Roman" w:asciiTheme="minorEastAsia" w:hAnsiTheme="minorEastAsia"/>
          <w:szCs w:val="21"/>
        </w:rPr>
        <w:t>要求包括必做、选做。</w:t>
      </w:r>
    </w:p>
    <w:bookmarkEnd w:id="6"/>
    <w:p w14:paraId="0419DC9D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六、实验分组及注意事项</w:t>
      </w:r>
    </w:p>
    <w:p w14:paraId="7EA72F96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从每组人数、分工、安全、实验准备</w:t>
      </w:r>
      <w:r>
        <w:rPr>
          <w:rFonts w:cs="Times New Roman" w:asciiTheme="minorEastAsia" w:hAnsiTheme="minorEastAsia"/>
          <w:color w:val="FF0000"/>
          <w:szCs w:val="21"/>
        </w:rPr>
        <w:t>等方面撰写</w:t>
      </w:r>
      <w:r>
        <w:rPr>
          <w:rFonts w:hint="eastAsia" w:cs="Times New Roman" w:asciiTheme="minorEastAsia" w:hAnsiTheme="minorEastAsia"/>
          <w:color w:val="FF0000"/>
          <w:szCs w:val="21"/>
        </w:rPr>
        <w:t>，可根据实际情况列表说明</w:t>
      </w:r>
      <w:r>
        <w:rPr>
          <w:rFonts w:cs="Times New Roman" w:asciiTheme="minorEastAsia" w:hAnsiTheme="minorEastAsia"/>
          <w:color w:val="FF0000"/>
          <w:szCs w:val="21"/>
        </w:rPr>
        <w:t>。（正文：宋体、五号、固定值18磅行距）</w:t>
      </w:r>
    </w:p>
    <w:p w14:paraId="5C569153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七、</w:t>
      </w:r>
      <w:r>
        <w:rPr>
          <w:rFonts w:cs="Times New Roman" w:asciiTheme="minorEastAsia" w:hAnsiTheme="minorEastAsia"/>
          <w:b/>
          <w:szCs w:val="21"/>
        </w:rPr>
        <w:t>课程考核方式</w:t>
      </w:r>
    </w:p>
    <w:p w14:paraId="00120BD3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课程思政要落实到考核环节。</w:t>
      </w:r>
      <w:r>
        <w:rPr>
          <w:rFonts w:cs="Times New Roman" w:asciiTheme="minorEastAsia" w:hAnsiTheme="minorEastAsia"/>
          <w:color w:val="FF0000"/>
          <w:szCs w:val="21"/>
        </w:rPr>
        <w:t>规范课程考核形式</w:t>
      </w:r>
      <w:r>
        <w:rPr>
          <w:rFonts w:hint="eastAsia" w:cs="Times New Roman" w:asciiTheme="minorEastAsia" w:hAnsiTheme="minorEastAsia"/>
          <w:color w:val="FF0000"/>
          <w:szCs w:val="21"/>
        </w:rPr>
        <w:t>、</w:t>
      </w:r>
      <w:r>
        <w:rPr>
          <w:rFonts w:cs="Times New Roman" w:asciiTheme="minorEastAsia" w:hAnsiTheme="minorEastAsia"/>
          <w:color w:val="FF0000"/>
          <w:szCs w:val="21"/>
        </w:rPr>
        <w:t>成绩</w:t>
      </w:r>
      <w:r>
        <w:rPr>
          <w:rFonts w:hint="eastAsia" w:cs="Times New Roman" w:asciiTheme="minorEastAsia" w:hAnsiTheme="minorEastAsia"/>
          <w:color w:val="FF0000"/>
          <w:szCs w:val="21"/>
        </w:rPr>
        <w:t>计分</w:t>
      </w:r>
      <w:r>
        <w:rPr>
          <w:rFonts w:cs="Times New Roman" w:asciiTheme="minorEastAsia" w:hAnsiTheme="minorEastAsia"/>
          <w:color w:val="FF0000"/>
          <w:szCs w:val="21"/>
        </w:rPr>
        <w:t>方式</w:t>
      </w:r>
      <w:r>
        <w:rPr>
          <w:rFonts w:hint="eastAsia" w:cs="Times New Roman" w:asciiTheme="minorEastAsia" w:hAnsiTheme="minorEastAsia"/>
          <w:color w:val="FF0000"/>
          <w:szCs w:val="21"/>
        </w:rPr>
        <w:t>，明确考核点支撑课程目标关系、考核评分标准。</w:t>
      </w:r>
      <w:r>
        <w:rPr>
          <w:rFonts w:cs="Times New Roman" w:asciiTheme="minorEastAsia" w:hAnsiTheme="minorEastAsia"/>
          <w:color w:val="FF0000"/>
          <w:szCs w:val="21"/>
        </w:rPr>
        <w:t>课程考核</w:t>
      </w:r>
      <w:r>
        <w:rPr>
          <w:rFonts w:hint="eastAsia" w:cs="Times New Roman" w:asciiTheme="minorEastAsia" w:hAnsiTheme="minorEastAsia"/>
          <w:color w:val="FF0000"/>
          <w:szCs w:val="21"/>
        </w:rPr>
        <w:t>注重</w:t>
      </w:r>
      <w:r>
        <w:rPr>
          <w:rFonts w:cs="Times New Roman" w:asciiTheme="minorEastAsia" w:hAnsiTheme="minorEastAsia"/>
          <w:color w:val="FF0000"/>
          <w:szCs w:val="21"/>
        </w:rPr>
        <w:t>形成性评价，教师应注重与学生的交流与探讨，阶段性地对学生学习状况给出评价。（正文：宋体、五号、固定值18磅行距）</w:t>
      </w:r>
    </w:p>
    <w:p w14:paraId="4F5C5BFE">
      <w:pPr>
        <w:spacing w:line="360" w:lineRule="exact"/>
        <w:ind w:firstLine="422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1.</w:t>
      </w:r>
      <w:r>
        <w:rPr>
          <w:rFonts w:cs="Times New Roman" w:asciiTheme="minorEastAsia" w:hAnsiTheme="minorEastAsia"/>
          <w:b/>
          <w:szCs w:val="21"/>
        </w:rPr>
        <w:t>总评计分制：</w:t>
      </w:r>
      <w:r>
        <w:rPr>
          <w:rFonts w:cs="Times New Roman" w:asciiTheme="minorEastAsia" w:hAnsiTheme="minorEastAsia"/>
          <w:szCs w:val="21"/>
        </w:rPr>
        <w:t>百分制</w:t>
      </w:r>
      <w:r>
        <w:rPr>
          <w:rFonts w:hint="eastAsia" w:cs="Times New Roman" w:asciiTheme="minorEastAsia" w:hAnsiTheme="minorEastAsia"/>
          <w:szCs w:val="21"/>
        </w:rPr>
        <w:t>/五级制</w:t>
      </w:r>
    </w:p>
    <w:p w14:paraId="2541FDE9">
      <w:pPr>
        <w:spacing w:after="78" w:afterLines="25" w:line="360" w:lineRule="exact"/>
        <w:ind w:firstLine="422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2.</w:t>
      </w:r>
      <w:r>
        <w:rPr>
          <w:rFonts w:cs="Times New Roman" w:asciiTheme="minorEastAsia" w:hAnsiTheme="minorEastAsia"/>
          <w:b/>
          <w:szCs w:val="21"/>
        </w:rPr>
        <w:t>考核方式：</w:t>
      </w:r>
      <w:r>
        <w:rPr>
          <w:rFonts w:cs="Times New Roman" w:asciiTheme="minorEastAsia" w:hAnsiTheme="minorEastAsia"/>
          <w:color w:val="FF0000"/>
          <w:szCs w:val="21"/>
        </w:rPr>
        <w:t>考试（开卷考/闭卷考）或考查（大作业等形式）</w:t>
      </w:r>
    </w:p>
    <w:p w14:paraId="6FB6A491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3.</w:t>
      </w:r>
      <w:r>
        <w:rPr>
          <w:rFonts w:cs="Times New Roman" w:asciiTheme="minorEastAsia" w:hAnsiTheme="minorEastAsia"/>
          <w:b/>
          <w:szCs w:val="21"/>
        </w:rPr>
        <w:t>考核点支撑课程目标关系</w:t>
      </w:r>
    </w:p>
    <w:p w14:paraId="4CD42F1C">
      <w:pPr>
        <w:spacing w:line="360" w:lineRule="exact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hint="eastAsia" w:cs="Times New Roman" w:asciiTheme="minorEastAsia" w:hAnsiTheme="minorEastAsia"/>
          <w:b/>
          <w:color w:val="000000"/>
          <w:szCs w:val="21"/>
        </w:rPr>
        <w:t>表7-</w:t>
      </w:r>
      <w:r>
        <w:rPr>
          <w:rFonts w:cs="Times New Roman" w:asciiTheme="minorEastAsia" w:hAnsiTheme="minorEastAsia"/>
          <w:b/>
          <w:color w:val="000000"/>
          <w:szCs w:val="21"/>
        </w:rPr>
        <w:t>1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课程目标与考核细项的支撑关系</w:t>
      </w:r>
    </w:p>
    <w:tbl>
      <w:tblPr>
        <w:tblStyle w:val="7"/>
        <w:tblW w:w="8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0"/>
        <w:gridCol w:w="1287"/>
        <w:gridCol w:w="2125"/>
        <w:gridCol w:w="3052"/>
      </w:tblGrid>
      <w:tr w14:paraId="1766CD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201653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课程目标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10516C5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考核细项</w:t>
            </w:r>
          </w:p>
        </w:tc>
        <w:tc>
          <w:tcPr>
            <w:tcW w:w="1287" w:type="dxa"/>
            <w:vAlign w:val="center"/>
          </w:tcPr>
          <w:p w14:paraId="3B4721EA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成绩百分占比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2ECEE23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记录文档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6787D2C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具体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评价</w:t>
            </w:r>
            <w:r>
              <w:rPr>
                <w:rFonts w:cs="Times New Roman" w:asciiTheme="minorEastAsia" w:hAnsiTheme="minorEastAsia"/>
                <w:b/>
                <w:szCs w:val="21"/>
              </w:rPr>
              <w:t>内容</w:t>
            </w:r>
          </w:p>
        </w:tc>
      </w:tr>
      <w:tr w14:paraId="549CFA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DD59B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FC84556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平时成绩</w:t>
            </w:r>
          </w:p>
        </w:tc>
        <w:tc>
          <w:tcPr>
            <w:tcW w:w="1287" w:type="dxa"/>
            <w:vAlign w:val="center"/>
          </w:tcPr>
          <w:p w14:paraId="1118A506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797F942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平时成绩登记表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E643048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考勤、实验表现等</w:t>
            </w:r>
          </w:p>
        </w:tc>
      </w:tr>
      <w:tr w14:paraId="11D17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54DA81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434F5B9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实验成绩</w:t>
            </w:r>
          </w:p>
        </w:tc>
        <w:tc>
          <w:tcPr>
            <w:tcW w:w="1287" w:type="dxa"/>
            <w:vAlign w:val="center"/>
          </w:tcPr>
          <w:p w14:paraId="567A33D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9243DA3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实验报告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5D7153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报告</w:t>
            </w:r>
          </w:p>
        </w:tc>
      </w:tr>
      <w:tr w14:paraId="469F6F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0AE615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9298F31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期末成绩</w:t>
            </w:r>
          </w:p>
        </w:tc>
        <w:tc>
          <w:tcPr>
            <w:tcW w:w="1287" w:type="dxa"/>
            <w:vAlign w:val="center"/>
          </w:tcPr>
          <w:p w14:paraId="0A67234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31C1BB94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 xml:space="preserve">期末试卷/考查报告 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045F39B">
            <w:pPr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期末考试选择题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题，判断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题，总计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分/考查报告</w:t>
            </w:r>
          </w:p>
        </w:tc>
      </w:tr>
      <w:tr w14:paraId="243F1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781018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0E5C42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平时成绩</w:t>
            </w:r>
          </w:p>
        </w:tc>
        <w:tc>
          <w:tcPr>
            <w:tcW w:w="1287" w:type="dxa"/>
            <w:vAlign w:val="center"/>
          </w:tcPr>
          <w:p w14:paraId="6BF62D69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E390263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平时成绩登记表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C1D89DF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考勤、实验表现等</w:t>
            </w:r>
          </w:p>
        </w:tc>
      </w:tr>
      <w:tr w14:paraId="0F358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74BED2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DC95369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实验成绩</w:t>
            </w:r>
          </w:p>
        </w:tc>
        <w:tc>
          <w:tcPr>
            <w:tcW w:w="1287" w:type="dxa"/>
            <w:vAlign w:val="center"/>
          </w:tcPr>
          <w:p w14:paraId="1F91A3CF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31460CAC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实验报告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760FF78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报告</w:t>
            </w:r>
          </w:p>
        </w:tc>
      </w:tr>
      <w:tr w14:paraId="07D4DB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BE5074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72129BE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期末成绩</w:t>
            </w:r>
          </w:p>
        </w:tc>
        <w:tc>
          <w:tcPr>
            <w:tcW w:w="1287" w:type="dxa"/>
            <w:vAlign w:val="center"/>
          </w:tcPr>
          <w:p w14:paraId="1E4B08F6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3FA37BEA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 xml:space="preserve">期末试卷/考查报告 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DD5A2D6">
            <w:pPr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期末考试选择题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题，判断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题，总计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分/考查报告</w:t>
            </w:r>
          </w:p>
        </w:tc>
      </w:tr>
      <w:tr w14:paraId="049557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083049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1311CEA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平时成绩</w:t>
            </w:r>
          </w:p>
        </w:tc>
        <w:tc>
          <w:tcPr>
            <w:tcW w:w="1287" w:type="dxa"/>
            <w:vAlign w:val="center"/>
          </w:tcPr>
          <w:p w14:paraId="442EFFE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A1CBC14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平时成绩登记表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681FB6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考勤、实验表现等</w:t>
            </w:r>
          </w:p>
        </w:tc>
      </w:tr>
      <w:tr w14:paraId="0105EB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055D5F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7FD7E88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实验成绩</w:t>
            </w:r>
          </w:p>
        </w:tc>
        <w:tc>
          <w:tcPr>
            <w:tcW w:w="1287" w:type="dxa"/>
            <w:vAlign w:val="center"/>
          </w:tcPr>
          <w:p w14:paraId="42EBE42C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6E9D51BC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设计报告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4558CC3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报告</w:t>
            </w:r>
          </w:p>
        </w:tc>
      </w:tr>
      <w:tr w14:paraId="1A9C1F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1E20D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DDE6286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期末成绩</w:t>
            </w:r>
          </w:p>
        </w:tc>
        <w:tc>
          <w:tcPr>
            <w:tcW w:w="1287" w:type="dxa"/>
            <w:vAlign w:val="center"/>
          </w:tcPr>
          <w:p w14:paraId="47767723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6C545FE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 xml:space="preserve">期末试卷/考查报告 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91AF7AA">
            <w:pPr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期末考试选择题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题，判断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题，总计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分/考查报告</w:t>
            </w:r>
          </w:p>
        </w:tc>
      </w:tr>
      <w:tr w14:paraId="59EC47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5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26418AC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合计</w:t>
            </w:r>
          </w:p>
        </w:tc>
        <w:tc>
          <w:tcPr>
            <w:tcW w:w="115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051361D8">
            <w:pPr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</w:p>
        </w:tc>
        <w:tc>
          <w:tcPr>
            <w:tcW w:w="1287" w:type="dxa"/>
            <w:tcBorders>
              <w:bottom w:val="single" w:color="auto" w:sz="12" w:space="0"/>
            </w:tcBorders>
          </w:tcPr>
          <w:p w14:paraId="539D498C">
            <w:pPr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1</w:t>
            </w:r>
            <w:r>
              <w:rPr>
                <w:rFonts w:cs="Times New Roman" w:asciiTheme="minorEastAsia" w:hAnsiTheme="minorEastAsia"/>
                <w:b/>
                <w:szCs w:val="21"/>
              </w:rPr>
              <w:t>00</w:t>
            </w:r>
          </w:p>
        </w:tc>
        <w:tc>
          <w:tcPr>
            <w:tcW w:w="212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41B74E5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305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C606AC1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</w:tr>
    </w:tbl>
    <w:p w14:paraId="58888DB3"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注：期末考试成绩不超过60%。</w:t>
      </w:r>
    </w:p>
    <w:p w14:paraId="09B0F1C9">
      <w:pPr>
        <w:spacing w:line="360" w:lineRule="exact"/>
        <w:ind w:firstLine="422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4.</w:t>
      </w:r>
      <w:r>
        <w:rPr>
          <w:rFonts w:cs="Times New Roman" w:asciiTheme="minorEastAsia" w:hAnsiTheme="minorEastAsia"/>
          <w:b/>
          <w:szCs w:val="21"/>
        </w:rPr>
        <w:t>考核评分</w:t>
      </w:r>
      <w:r>
        <w:rPr>
          <w:rFonts w:hint="eastAsia" w:cs="Times New Roman" w:asciiTheme="minorEastAsia" w:hAnsiTheme="minorEastAsia"/>
          <w:b/>
          <w:szCs w:val="21"/>
        </w:rPr>
        <w:t>标准</w:t>
      </w:r>
    </w:p>
    <w:p w14:paraId="551AB3E0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1）</w:t>
      </w:r>
      <w:r>
        <w:rPr>
          <w:rFonts w:cs="Times New Roman" w:asciiTheme="minorEastAsia" w:hAnsiTheme="minorEastAsia"/>
          <w:szCs w:val="21"/>
        </w:rPr>
        <w:t>实验环节按照百分制评分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实验步骤与数据有效性需由任课教师签字确认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未经审核签字的实验一律得</w:t>
      </w:r>
      <w:r>
        <w:rPr>
          <w:rFonts w:hint="eastAsia" w:cs="Times New Roman" w:asciiTheme="minorEastAsia" w:hAnsiTheme="minorEastAsia"/>
          <w:szCs w:val="21"/>
        </w:rPr>
        <w:t>0分。</w:t>
      </w:r>
      <w:r>
        <w:rPr>
          <w:rFonts w:cs="Times New Roman" w:asciiTheme="minorEastAsia" w:hAnsiTheme="minorEastAsia"/>
          <w:szCs w:val="21"/>
        </w:rPr>
        <w:t>评分标准</w:t>
      </w:r>
      <w:r>
        <w:rPr>
          <w:rFonts w:hint="eastAsia" w:cs="Times New Roman" w:asciiTheme="minorEastAsia" w:hAnsiTheme="minorEastAsia"/>
          <w:szCs w:val="21"/>
        </w:rPr>
        <w:t>见表7-2（实践环节评分标准可参考表7-2）。</w:t>
      </w:r>
    </w:p>
    <w:p w14:paraId="7C738578">
      <w:pPr>
        <w:spacing w:line="360" w:lineRule="exact"/>
        <w:ind w:firstLine="422" w:firstLineChars="200"/>
        <w:jc w:val="center"/>
        <w:rPr>
          <w:rFonts w:cs="Times New Roman" w:asciiTheme="minorEastAsia" w:hAnsiTheme="minorEastAsia"/>
          <w:b/>
          <w:color w:val="000000"/>
          <w:szCs w:val="21"/>
        </w:rPr>
      </w:pPr>
    </w:p>
    <w:p w14:paraId="76D4386A">
      <w:pPr>
        <w:spacing w:line="360" w:lineRule="exact"/>
        <w:ind w:firstLine="422" w:firstLineChars="200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hint="eastAsia" w:cs="Times New Roman" w:asciiTheme="minorEastAsia" w:hAnsiTheme="minorEastAsia"/>
          <w:b/>
          <w:color w:val="000000"/>
          <w:szCs w:val="21"/>
        </w:rPr>
        <w:t>表7</w:t>
      </w:r>
      <w:r>
        <w:rPr>
          <w:rFonts w:cs="Times New Roman" w:asciiTheme="minorEastAsia" w:hAnsiTheme="minorEastAsia"/>
          <w:b/>
          <w:color w:val="000000"/>
          <w:szCs w:val="21"/>
        </w:rPr>
        <w:t>-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2 实验评分标准</w:t>
      </w:r>
    </w:p>
    <w:tbl>
      <w:tblPr>
        <w:tblStyle w:val="7"/>
        <w:tblW w:w="8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743"/>
        <w:gridCol w:w="1743"/>
        <w:gridCol w:w="1743"/>
        <w:gridCol w:w="1745"/>
      </w:tblGrid>
      <w:tr w14:paraId="4DAA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14:paraId="46852308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课程目标</w:t>
            </w: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14:paraId="7C9DD2BA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评分</w:t>
            </w:r>
          </w:p>
        </w:tc>
      </w:tr>
      <w:tr w14:paraId="6DD4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 w14:paraId="14BAFB20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440AEA0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90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100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0780C37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75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89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8795686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60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74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1F92388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59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</w:tr>
      <w:tr w14:paraId="6EE5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shd w:val="clear" w:color="auto" w:fill="auto"/>
            <w:vAlign w:val="center"/>
          </w:tcPr>
          <w:p w14:paraId="17900F6C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实验设计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AC69F2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实验步骤合理清晰，设计方案逻辑清晰，能体现一定的创新性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D6915DF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实验步骤较为合理，设计方案逻辑完整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378E540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实验步骤不完整，设计方案存在逻辑缺陷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FFFAEE6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实验步骤缺失，设计方案逻辑错误</w:t>
            </w:r>
          </w:p>
        </w:tc>
      </w:tr>
      <w:tr w14:paraId="7E32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 w14:paraId="7B67873C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实验结果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DBBF0B9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实验报告按时提交，字迹工整清晰，数据记录完整，数据处理与实验结果正确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0EC0A6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实验报告按时提交，字迹清晰，数据记录基本完整，数据处理与实验结果基本正确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701792B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实验报告延时提交，字迹潦草但能辨识，数据记录部分缺失，数据处理与实验结果存在较多错误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E9250CB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实验报告后期提交，字迹潦草且不能辨识，数据记录缺失，数据处理与实验结果缺失或完全错误</w:t>
            </w:r>
          </w:p>
        </w:tc>
      </w:tr>
    </w:tbl>
    <w:p w14:paraId="6E4073AF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2）考核方式为考试的，期末考试</w:t>
      </w:r>
      <w:r>
        <w:rPr>
          <w:rFonts w:cs="Times New Roman" w:asciiTheme="minorEastAsia" w:hAnsiTheme="minorEastAsia"/>
          <w:szCs w:val="21"/>
        </w:rPr>
        <w:t>按照参考答案和评分标准进行评分</w:t>
      </w:r>
      <w:r>
        <w:rPr>
          <w:rFonts w:hint="eastAsia" w:cs="Times New Roman" w:asciiTheme="minorEastAsia" w:hAnsiTheme="minorEastAsia"/>
          <w:szCs w:val="21"/>
        </w:rPr>
        <w:t>，最终成绩</w:t>
      </w:r>
      <w:r>
        <w:rPr>
          <w:rFonts w:cs="Times New Roman" w:asciiTheme="minorEastAsia" w:hAnsiTheme="minorEastAsia"/>
          <w:szCs w:val="21"/>
        </w:rPr>
        <w:t>按照百分制评分</w:t>
      </w:r>
      <w:r>
        <w:rPr>
          <w:rFonts w:hint="eastAsia" w:cs="Times New Roman" w:asciiTheme="minorEastAsia" w:hAnsiTheme="minorEastAsia"/>
          <w:szCs w:val="21"/>
        </w:rPr>
        <w:t>。考核方式为考查的，考查报告可以采用五级制评级。</w:t>
      </w:r>
    </w:p>
    <w:p w14:paraId="39A2FA2F">
      <w:pPr>
        <w:snapToGrid w:val="0"/>
        <w:spacing w:line="360" w:lineRule="exact"/>
        <w:ind w:firstLine="422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5</w:t>
      </w:r>
      <w:r>
        <w:rPr>
          <w:rFonts w:cs="Times New Roman" w:asciiTheme="minorEastAsia" w:hAnsiTheme="minorEastAsia"/>
          <w:b/>
          <w:szCs w:val="21"/>
        </w:rPr>
        <w:t>.</w:t>
      </w:r>
      <w:r>
        <w:rPr>
          <w:rFonts w:hint="eastAsia" w:cs="Times New Roman" w:asciiTheme="minorEastAsia" w:hAnsiTheme="minorEastAsia"/>
          <w:b/>
          <w:szCs w:val="21"/>
        </w:rPr>
        <w:t xml:space="preserve"> 课程目标</w:t>
      </w:r>
      <w:r>
        <w:rPr>
          <w:rFonts w:cs="Times New Roman" w:asciiTheme="minorEastAsia" w:hAnsiTheme="minorEastAsia"/>
          <w:b/>
          <w:szCs w:val="21"/>
        </w:rPr>
        <w:t>达成度</w:t>
      </w:r>
    </w:p>
    <w:p w14:paraId="3C64AF6C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</w:p>
    <w:p w14:paraId="7DAA8D9C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COj达成度</m:t>
          </m:r>
          <m:r>
            <m:rPr>
              <m:sty m:val="p"/>
            </m:rPr>
            <w:rPr>
              <w:rFonts w:hint="eastAsia" w:ascii="Cambria Math" w:hAnsi="Cambria Math" w:cs="Times New Roman"/>
              <w:szCs w:val="21"/>
            </w:rPr>
            <m:t>%</m:t>
          </m:r>
          <m:r>
            <m:rPr>
              <m:sty m:val="b"/>
            </m:rPr>
            <w:rPr>
              <w:rFonts w:hint="eastAsia"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1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naryPr>
                <m:sub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ub>
                <m:sup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考核细项中对应COj的平均得分×考核细项的支撑权重系数</m:t>
                  </m: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e>
              </m:nary>
              <m:ctrlPr>
                <w:rPr>
                  <w:rFonts w:ascii="Cambria Math" w:hAnsi="Cambria Math" w:cs="Times New Roman"/>
                  <w:szCs w:val="21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COj的百分总占比</m:t>
              </m:r>
              <m:ctrlPr>
                <w:rPr>
                  <w:rFonts w:ascii="Cambria Math" w:hAnsi="Cambria Math" w:cs="Times New Roman"/>
                  <w:szCs w:val="21"/>
                </w:rPr>
              </m:ctrlPr>
            </m:den>
          </m:f>
        </m:oMath>
      </m:oMathPara>
      <w:bookmarkStart w:id="7" w:name="_GoBack"/>
      <w:bookmarkEnd w:id="7"/>
    </w:p>
    <w:p w14:paraId="13078F8A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</w:p>
    <w:p w14:paraId="241A49F9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八、</w:t>
      </w:r>
      <w:r>
        <w:rPr>
          <w:rFonts w:cs="Times New Roman" w:asciiTheme="minorEastAsia" w:hAnsiTheme="minorEastAsia"/>
          <w:b/>
          <w:szCs w:val="21"/>
        </w:rPr>
        <w:t>教材及教学参考书</w:t>
      </w:r>
    </w:p>
    <w:p w14:paraId="1F9488B6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课程思政要落实到教材编审选用。</w:t>
      </w:r>
      <w:r>
        <w:rPr>
          <w:rFonts w:cs="Times New Roman" w:asciiTheme="minorEastAsia" w:hAnsiTheme="minorEastAsia"/>
          <w:color w:val="FF0000"/>
          <w:szCs w:val="21"/>
        </w:rPr>
        <w:t>推荐不少于3本的教材及教学参考书，书写格式：教材名称，主编（作者或译者），国际标准书号（ISBN，用“-”隔开数字），出版社，出版时间，出版国家（仅用于境外教材）。鼓励采用自编讲义，完善课程教学资源库建设。</w:t>
      </w:r>
      <w:r>
        <w:rPr>
          <w:rFonts w:hint="eastAsia" w:cs="Times New Roman" w:asciiTheme="minorEastAsia" w:hAnsiTheme="minorEastAsia"/>
          <w:color w:val="FF0000"/>
          <w:szCs w:val="21"/>
        </w:rPr>
        <w:t>（正文：宋体、五号、固定值18磅行距）</w:t>
      </w:r>
    </w:p>
    <w:p w14:paraId="204D6AE3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九、</w:t>
      </w:r>
      <w:r>
        <w:rPr>
          <w:rFonts w:cs="Times New Roman" w:asciiTheme="minorEastAsia" w:hAnsiTheme="minorEastAsia"/>
          <w:b/>
          <w:szCs w:val="21"/>
        </w:rPr>
        <w:t>其它说明</w:t>
      </w:r>
    </w:p>
    <w:p w14:paraId="550A45DA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编写建议：课程教学网站、教学参考网站、专业期刊。（正文：宋体、五号、固定值18磅行距）</w:t>
      </w:r>
    </w:p>
    <w:p w14:paraId="0626AFAA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52DBCB7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6AD758D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7835720">
      <w:pPr>
        <w:spacing w:line="360" w:lineRule="exact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课程负责人</w:t>
      </w:r>
      <w:r>
        <w:rPr>
          <w:rFonts w:cs="Times New Roman" w:asciiTheme="minorEastAsia" w:hAnsiTheme="minorEastAsia"/>
          <w:kern w:val="0"/>
          <w:szCs w:val="21"/>
        </w:rPr>
        <w:t>：</w:t>
      </w:r>
    </w:p>
    <w:p w14:paraId="24B2233E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基层教学组织负责人</w:t>
      </w:r>
      <w:r>
        <w:rPr>
          <w:rFonts w:cs="Times New Roman" w:asciiTheme="minorEastAsia" w:hAnsiTheme="minorEastAsia"/>
          <w:kern w:val="0"/>
          <w:szCs w:val="21"/>
        </w:rPr>
        <w:t>：</w:t>
      </w:r>
    </w:p>
    <w:p w14:paraId="60FED956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专业/学院教学负责人：</w:t>
      </w:r>
    </w:p>
    <w:p w14:paraId="2BE4B3F3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日  期：</w:t>
      </w:r>
    </w:p>
    <w:sectPr>
      <w:footerReference r:id="rId3" w:type="default"/>
      <w:pgSz w:w="11906" w:h="16838"/>
      <w:pgMar w:top="1440" w:right="1800" w:bottom="1440" w:left="1800" w:header="851" w:footer="80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E0334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- 1 -</w:t>
    </w:r>
    <w:r>
      <w:rPr>
        <w:b/>
        <w:sz w:val="24"/>
        <w:szCs w:val="24"/>
      </w:rPr>
      <w:fldChar w:fldCharType="end"/>
    </w:r>
  </w:p>
  <w:p w14:paraId="61BDD1C2">
    <w:pPr>
      <w:pStyle w:val="4"/>
    </w:pPr>
  </w:p>
  <w:p w14:paraId="3B9A674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ZmE2MGQ1YmYyYTZlMmExYjBjYjljYmZlOGIxMzUifQ=="/>
  </w:docVars>
  <w:rsids>
    <w:rsidRoot w:val="00855818"/>
    <w:rsid w:val="000113DC"/>
    <w:rsid w:val="0005692C"/>
    <w:rsid w:val="00085790"/>
    <w:rsid w:val="000911D4"/>
    <w:rsid w:val="000C03EA"/>
    <w:rsid w:val="000C57A8"/>
    <w:rsid w:val="000D73CA"/>
    <w:rsid w:val="000F003D"/>
    <w:rsid w:val="000F1D41"/>
    <w:rsid w:val="000F202A"/>
    <w:rsid w:val="00147143"/>
    <w:rsid w:val="001A0BA1"/>
    <w:rsid w:val="001A2301"/>
    <w:rsid w:val="001A5553"/>
    <w:rsid w:val="001E5147"/>
    <w:rsid w:val="001F1A45"/>
    <w:rsid w:val="00200CF8"/>
    <w:rsid w:val="00206589"/>
    <w:rsid w:val="00231A12"/>
    <w:rsid w:val="00267203"/>
    <w:rsid w:val="0027501D"/>
    <w:rsid w:val="00276467"/>
    <w:rsid w:val="0028476B"/>
    <w:rsid w:val="0028765A"/>
    <w:rsid w:val="00297CF9"/>
    <w:rsid w:val="002B11B1"/>
    <w:rsid w:val="002E0A42"/>
    <w:rsid w:val="002F1E68"/>
    <w:rsid w:val="00331AF0"/>
    <w:rsid w:val="00360597"/>
    <w:rsid w:val="00361818"/>
    <w:rsid w:val="003933FB"/>
    <w:rsid w:val="003A1244"/>
    <w:rsid w:val="003B6109"/>
    <w:rsid w:val="003B6DB1"/>
    <w:rsid w:val="003C051F"/>
    <w:rsid w:val="003C1D75"/>
    <w:rsid w:val="004041E5"/>
    <w:rsid w:val="00410B6D"/>
    <w:rsid w:val="00457F07"/>
    <w:rsid w:val="00461A1C"/>
    <w:rsid w:val="00463524"/>
    <w:rsid w:val="004A56E6"/>
    <w:rsid w:val="004A7F32"/>
    <w:rsid w:val="004D1FCC"/>
    <w:rsid w:val="004D2D14"/>
    <w:rsid w:val="004D4E1B"/>
    <w:rsid w:val="004F249D"/>
    <w:rsid w:val="004F37DD"/>
    <w:rsid w:val="0053107A"/>
    <w:rsid w:val="00541EA0"/>
    <w:rsid w:val="00546F56"/>
    <w:rsid w:val="005505CE"/>
    <w:rsid w:val="005873B6"/>
    <w:rsid w:val="005A14E9"/>
    <w:rsid w:val="005F7547"/>
    <w:rsid w:val="00600D32"/>
    <w:rsid w:val="0063532B"/>
    <w:rsid w:val="0063567E"/>
    <w:rsid w:val="0064354B"/>
    <w:rsid w:val="00643581"/>
    <w:rsid w:val="0065290A"/>
    <w:rsid w:val="00673B42"/>
    <w:rsid w:val="006A3B13"/>
    <w:rsid w:val="006E316F"/>
    <w:rsid w:val="00713809"/>
    <w:rsid w:val="00717D7C"/>
    <w:rsid w:val="00736DF0"/>
    <w:rsid w:val="00736E0F"/>
    <w:rsid w:val="00744BD3"/>
    <w:rsid w:val="00760DE9"/>
    <w:rsid w:val="00767A0D"/>
    <w:rsid w:val="0079409A"/>
    <w:rsid w:val="007A48F4"/>
    <w:rsid w:val="007E00D0"/>
    <w:rsid w:val="007E53B0"/>
    <w:rsid w:val="00801493"/>
    <w:rsid w:val="00804BB3"/>
    <w:rsid w:val="00855818"/>
    <w:rsid w:val="008708A8"/>
    <w:rsid w:val="008838D2"/>
    <w:rsid w:val="00885982"/>
    <w:rsid w:val="0089081D"/>
    <w:rsid w:val="008B2B6E"/>
    <w:rsid w:val="008B7254"/>
    <w:rsid w:val="008D0500"/>
    <w:rsid w:val="0091399B"/>
    <w:rsid w:val="009252F2"/>
    <w:rsid w:val="00935F1A"/>
    <w:rsid w:val="00955AE5"/>
    <w:rsid w:val="00970891"/>
    <w:rsid w:val="009752CD"/>
    <w:rsid w:val="0098048B"/>
    <w:rsid w:val="009806E5"/>
    <w:rsid w:val="009C0BAA"/>
    <w:rsid w:val="009C714F"/>
    <w:rsid w:val="009F3C06"/>
    <w:rsid w:val="00A020FC"/>
    <w:rsid w:val="00A027C7"/>
    <w:rsid w:val="00A038D9"/>
    <w:rsid w:val="00A21BEB"/>
    <w:rsid w:val="00A33454"/>
    <w:rsid w:val="00A42017"/>
    <w:rsid w:val="00A50642"/>
    <w:rsid w:val="00A71A65"/>
    <w:rsid w:val="00A85C09"/>
    <w:rsid w:val="00A93BC9"/>
    <w:rsid w:val="00AA5FDC"/>
    <w:rsid w:val="00B12C28"/>
    <w:rsid w:val="00B208C6"/>
    <w:rsid w:val="00B223D4"/>
    <w:rsid w:val="00B508D5"/>
    <w:rsid w:val="00B83D93"/>
    <w:rsid w:val="00B86D77"/>
    <w:rsid w:val="00B912DF"/>
    <w:rsid w:val="00B97567"/>
    <w:rsid w:val="00BA789A"/>
    <w:rsid w:val="00BB39AA"/>
    <w:rsid w:val="00BB4474"/>
    <w:rsid w:val="00C033D8"/>
    <w:rsid w:val="00C03410"/>
    <w:rsid w:val="00C17C53"/>
    <w:rsid w:val="00C17DB1"/>
    <w:rsid w:val="00C26BC9"/>
    <w:rsid w:val="00C4135A"/>
    <w:rsid w:val="00C42890"/>
    <w:rsid w:val="00C452A5"/>
    <w:rsid w:val="00C6028A"/>
    <w:rsid w:val="00C77894"/>
    <w:rsid w:val="00CC171E"/>
    <w:rsid w:val="00CC75DB"/>
    <w:rsid w:val="00CD46FC"/>
    <w:rsid w:val="00CE334F"/>
    <w:rsid w:val="00D03AD3"/>
    <w:rsid w:val="00D20DCC"/>
    <w:rsid w:val="00D22396"/>
    <w:rsid w:val="00D45B6D"/>
    <w:rsid w:val="00D76814"/>
    <w:rsid w:val="00D86386"/>
    <w:rsid w:val="00D9210D"/>
    <w:rsid w:val="00DA145E"/>
    <w:rsid w:val="00DA2E5C"/>
    <w:rsid w:val="00DA54DE"/>
    <w:rsid w:val="00DB0480"/>
    <w:rsid w:val="00DB7F51"/>
    <w:rsid w:val="00DC1010"/>
    <w:rsid w:val="00DC3316"/>
    <w:rsid w:val="00DD259F"/>
    <w:rsid w:val="00DD4D88"/>
    <w:rsid w:val="00DF749F"/>
    <w:rsid w:val="00E018AC"/>
    <w:rsid w:val="00E02DD1"/>
    <w:rsid w:val="00E143A7"/>
    <w:rsid w:val="00E22865"/>
    <w:rsid w:val="00E23A04"/>
    <w:rsid w:val="00E24F44"/>
    <w:rsid w:val="00E25CEE"/>
    <w:rsid w:val="00E26AA3"/>
    <w:rsid w:val="00E43384"/>
    <w:rsid w:val="00E75DD6"/>
    <w:rsid w:val="00E9013B"/>
    <w:rsid w:val="00E90C45"/>
    <w:rsid w:val="00E931F5"/>
    <w:rsid w:val="00EA2D33"/>
    <w:rsid w:val="00EB7BAD"/>
    <w:rsid w:val="00EC1537"/>
    <w:rsid w:val="00EC1739"/>
    <w:rsid w:val="00ED0A6B"/>
    <w:rsid w:val="00ED5361"/>
    <w:rsid w:val="00ED77C0"/>
    <w:rsid w:val="00EE45C7"/>
    <w:rsid w:val="00EE4929"/>
    <w:rsid w:val="00EE4A82"/>
    <w:rsid w:val="00EE50C0"/>
    <w:rsid w:val="00EF1AC8"/>
    <w:rsid w:val="00EF3417"/>
    <w:rsid w:val="00F0113A"/>
    <w:rsid w:val="00F02442"/>
    <w:rsid w:val="00F04594"/>
    <w:rsid w:val="00F157B1"/>
    <w:rsid w:val="00F309A0"/>
    <w:rsid w:val="00F3280E"/>
    <w:rsid w:val="00F34867"/>
    <w:rsid w:val="00F5563B"/>
    <w:rsid w:val="00F72398"/>
    <w:rsid w:val="00F74149"/>
    <w:rsid w:val="00F845E7"/>
    <w:rsid w:val="00F974DF"/>
    <w:rsid w:val="00FB44EC"/>
    <w:rsid w:val="00FC39AC"/>
    <w:rsid w:val="032B2125"/>
    <w:rsid w:val="04E03557"/>
    <w:rsid w:val="07D74A79"/>
    <w:rsid w:val="0A3874C1"/>
    <w:rsid w:val="10E3612E"/>
    <w:rsid w:val="1A1462F9"/>
    <w:rsid w:val="1A3D61AC"/>
    <w:rsid w:val="1C782A98"/>
    <w:rsid w:val="1DA31F9A"/>
    <w:rsid w:val="1F093731"/>
    <w:rsid w:val="1FD321DF"/>
    <w:rsid w:val="270F12F9"/>
    <w:rsid w:val="285E349C"/>
    <w:rsid w:val="2D217664"/>
    <w:rsid w:val="306C6A3F"/>
    <w:rsid w:val="35362B50"/>
    <w:rsid w:val="36761EEA"/>
    <w:rsid w:val="38D61ED1"/>
    <w:rsid w:val="42D93A2E"/>
    <w:rsid w:val="43967438"/>
    <w:rsid w:val="4AAA01B3"/>
    <w:rsid w:val="4B5375A2"/>
    <w:rsid w:val="4BB96274"/>
    <w:rsid w:val="4C0A2FC7"/>
    <w:rsid w:val="4D6F1C7C"/>
    <w:rsid w:val="504E468F"/>
    <w:rsid w:val="514A5E5D"/>
    <w:rsid w:val="54E42E5C"/>
    <w:rsid w:val="5B670CC1"/>
    <w:rsid w:val="5FC32524"/>
    <w:rsid w:val="62E152E9"/>
    <w:rsid w:val="632F5C48"/>
    <w:rsid w:val="66493A71"/>
    <w:rsid w:val="67023BA2"/>
    <w:rsid w:val="6AAD15C5"/>
    <w:rsid w:val="6C4F6888"/>
    <w:rsid w:val="71961A6E"/>
    <w:rsid w:val="72794346"/>
    <w:rsid w:val="72A51A1A"/>
    <w:rsid w:val="750B0F29"/>
    <w:rsid w:val="779A6C9F"/>
    <w:rsid w:val="7B24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autoRedefine/>
    <w:qFormat/>
    <w:uiPriority w:val="0"/>
    <w:rPr>
      <w:sz w:val="21"/>
      <w:szCs w:val="21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styleId="16">
    <w:name w:val="Placeholder Text"/>
    <w:basedOn w:val="9"/>
    <w:autoRedefine/>
    <w:unhideWhenUsed/>
    <w:qFormat/>
    <w:uiPriority w:val="99"/>
    <w:rPr>
      <w:color w:val="808080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BE69-5214-467D-9E0D-E51373DE8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2364</Words>
  <Characters>2532</Characters>
  <Lines>245</Lines>
  <Paragraphs>149</Paragraphs>
  <TotalTime>93</TotalTime>
  <ScaleCrop>false</ScaleCrop>
  <LinksUpToDate>false</LinksUpToDate>
  <CharactersWithSpaces>2550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2024-03-05T11:22:00Z</dcterms:created>
  <dc:creator>abc</dc:creator>
  <cp:lastModifiedBy>飞燕</cp:lastModifiedBy>
  <cp:lastPrinted>2024-03-05T11:03:00Z</cp:lastPrinted>
  <dcterms:modified xsi:type="dcterms:W3CDTF">2025-05-28T06:27:05Z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813C203C001B4FD1A44D791948831B11_13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