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F6FF">
      <w:pPr>
        <w:snapToGrid w:val="0"/>
        <w:spacing w:line="360" w:lineRule="exact"/>
        <w:jc w:val="center"/>
        <w:rPr>
          <w:rFonts w:hint="eastAsia" w:cs="仿宋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cs="仿宋" w:asciiTheme="minorEastAsia" w:hAnsiTheme="minorEastAsia" w:eastAsiaTheme="minorEastAsia"/>
          <w:b/>
          <w:bCs/>
          <w:sz w:val="30"/>
          <w:szCs w:val="30"/>
        </w:rPr>
        <w:t>温州理工学院《</w:t>
      </w:r>
      <w:r>
        <w:rPr>
          <w:rFonts w:hint="eastAsia" w:cs="仿宋" w:asciiTheme="minorEastAsia" w:hAnsiTheme="minorEastAsia" w:eastAsiaTheme="minorEastAsia"/>
          <w:b/>
          <w:bCs/>
          <w:color w:val="FF0000"/>
          <w:sz w:val="30"/>
          <w:szCs w:val="30"/>
        </w:rPr>
        <w:t>课程名称</w:t>
      </w:r>
      <w:r>
        <w:rPr>
          <w:rFonts w:hint="eastAsia" w:cs="仿宋" w:asciiTheme="minorEastAsia" w:hAnsiTheme="minorEastAsia" w:eastAsiaTheme="minorEastAsia"/>
          <w:b/>
          <w:bCs/>
          <w:sz w:val="30"/>
          <w:szCs w:val="30"/>
        </w:rPr>
        <w:t>》课程教学大纲</w:t>
      </w:r>
    </w:p>
    <w:p w14:paraId="363B2356">
      <w:pPr>
        <w:snapToGrid w:val="0"/>
        <w:spacing w:line="360" w:lineRule="exact"/>
        <w:jc w:val="center"/>
        <w:rPr>
          <w:rFonts w:hint="eastAsia" w:cs="仿宋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cs="仿宋" w:asciiTheme="minorEastAsia" w:hAnsiTheme="minorEastAsia" w:eastAsiaTheme="minorEastAsia"/>
          <w:b/>
          <w:color w:val="FF0000"/>
          <w:szCs w:val="21"/>
        </w:rPr>
        <w:t>（红色字体部分为编写建议或模拟填写，撰写完成后请予以删除）</w:t>
      </w:r>
    </w:p>
    <w:p w14:paraId="4C31C89F">
      <w:pPr>
        <w:snapToGrid w:val="0"/>
        <w:spacing w:line="360" w:lineRule="exact"/>
        <w:ind w:firstLine="310" w:firstLineChars="147"/>
        <w:jc w:val="center"/>
        <w:rPr>
          <w:rFonts w:cs="仿宋" w:asciiTheme="minorEastAsia" w:hAnsiTheme="minorEastAsia" w:eastAsiaTheme="minorEastAsia"/>
          <w:b/>
          <w:color w:val="FF0000"/>
          <w:szCs w:val="21"/>
        </w:rPr>
      </w:pPr>
    </w:p>
    <w:p w14:paraId="5C40A540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一、课程基本信息</w:t>
      </w:r>
    </w:p>
    <w:p w14:paraId="3C928292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1.课程代码：</w:t>
      </w:r>
      <w:r>
        <w:rPr>
          <w:rFonts w:hint="eastAsia" w:cs="仿宋" w:asciiTheme="minorEastAsia" w:hAnsiTheme="minorEastAsia" w:eastAsiaTheme="minorEastAsia"/>
          <w:color w:val="FF0000"/>
          <w:szCs w:val="21"/>
        </w:rPr>
        <w:t>（</w:t>
      </w:r>
      <w:r>
        <w:rPr>
          <w:rFonts w:hint="eastAsia" w:cs="仿宋" w:asciiTheme="minorEastAsia" w:hAnsiTheme="minorEastAsia" w:eastAsiaTheme="minorEastAsia"/>
          <w:color w:val="FF0000"/>
          <w:szCs w:val="21"/>
          <w:lang w:val="en-US" w:eastAsia="zh-CN"/>
        </w:rPr>
        <w:t>由教务处填写</w:t>
      </w:r>
      <w:r>
        <w:rPr>
          <w:rFonts w:hint="eastAsia" w:cs="仿宋" w:asciiTheme="minorEastAsia" w:hAnsiTheme="minorEastAsia" w:eastAsiaTheme="minorEastAsia"/>
          <w:color w:val="FF0000"/>
          <w:szCs w:val="21"/>
        </w:rPr>
        <w:t>）</w:t>
      </w:r>
      <w:bookmarkStart w:id="0" w:name="_GoBack"/>
      <w:bookmarkEnd w:id="0"/>
    </w:p>
    <w:p w14:paraId="404E82F4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2.课程名称：</w:t>
      </w:r>
      <w:r>
        <w:rPr>
          <w:rFonts w:hint="eastAsia" w:cs="仿宋" w:asciiTheme="minorEastAsia" w:hAnsiTheme="minorEastAsia" w:eastAsiaTheme="minorEastAsia"/>
          <w:color w:val="FF0000"/>
          <w:szCs w:val="21"/>
        </w:rPr>
        <w:t>（中文/英文）</w:t>
      </w:r>
    </w:p>
    <w:p w14:paraId="25E38661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3.课程类别：</w:t>
      </w:r>
      <w:r>
        <w:rPr>
          <w:rFonts w:hint="eastAsia" w:cs="仿宋" w:asciiTheme="minorEastAsia" w:hAnsiTheme="minorEastAsia" w:eastAsiaTheme="minorEastAsia"/>
          <w:color w:val="FF0000"/>
          <w:szCs w:val="21"/>
        </w:rPr>
        <w:t>通识选修课</w:t>
      </w:r>
    </w:p>
    <w:p w14:paraId="49D12F32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4.学分/总学时：2.0/32 ,其中理论教学（学分/学时）：2.0/32  </w:t>
      </w:r>
    </w:p>
    <w:p w14:paraId="7CA11E65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5.面向对象：</w:t>
      </w:r>
      <w:r>
        <w:rPr>
          <w:rFonts w:hint="eastAsia" w:cs="仿宋" w:asciiTheme="minorEastAsia" w:hAnsiTheme="minorEastAsia" w:eastAsiaTheme="minorEastAsia"/>
          <w:color w:val="FF0000"/>
          <w:szCs w:val="21"/>
        </w:rPr>
        <w:t>（XX专业、各专业、除XX专业以外的各专业）</w:t>
      </w:r>
    </w:p>
    <w:p w14:paraId="5F423D83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（正文：宋体、五号、固定值18磅行距）</w:t>
      </w:r>
    </w:p>
    <w:p w14:paraId="53B11D5B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二、课程简介</w:t>
      </w:r>
    </w:p>
    <w:p w14:paraId="70BD651A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编写建议：描述本课程在该专业人才培养中的地位、作用和学生的学习任务，学生在知识、能力、素质等方面需要学习和掌握的内容。（正文：宋体、五号、固定值18磅行距，限100-150字）</w:t>
      </w:r>
    </w:p>
    <w:p w14:paraId="628EB14D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三、课程教学目标和能力要求</w:t>
      </w:r>
    </w:p>
    <w:p w14:paraId="4285BD6B">
      <w:pPr>
        <w:widowControl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编写建议：说明本课程应达到的主要教学目标，可从知识、能力和素质（含思政）三方面阐述，要求至少3项具体的课程目标（建议3-5项）。教学目标要体现高阶性，要有分析、综合、评价之类的高阶目标，不能只是了解、掌握、认识这类低阶目标。课程目标必须是具体的、可衡量、可评价的。（正文：宋体、五号、固定值18磅行距）</w:t>
      </w:r>
    </w:p>
    <w:p w14:paraId="24F64D00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根据课程特点和对毕业要求的贡献度，设定课程目标为： </w:t>
      </w:r>
    </w:p>
    <w:p w14:paraId="1A94E7DF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CO1：</w:t>
      </w:r>
    </w:p>
    <w:p w14:paraId="381BC038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CO2：</w:t>
      </w:r>
    </w:p>
    <w:p w14:paraId="309AC36A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……</w:t>
      </w:r>
    </w:p>
    <w:p w14:paraId="3B23A2D8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COj：</w:t>
      </w:r>
    </w:p>
    <w:p w14:paraId="5F3FA6E1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四、课程教学方法和课堂形式</w:t>
      </w:r>
    </w:p>
    <w:p w14:paraId="68D7E58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编写建议：为了支撑课程目标的达成，课程教学要结合课程特点，以学生为中心的教学理念，充分体现参与式教学设计，明确课程教学方法和课堂形式。课程教学方法包括教师讲授、师生研讨、网络教学、分组讨论、实践教学等多种方法；课堂形式包括线下、线上、线上线下混合、翻转课堂、虚拟仿真、案例讨论、实验实训等形式。（正文：宋体、五号、固定值18磅行距）</w:t>
      </w:r>
    </w:p>
    <w:p w14:paraId="3858C330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五、课程内容及教学安排</w:t>
      </w:r>
    </w:p>
    <w:p w14:paraId="08CB0999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编写建议：课程内容须支撑课程目标，课程思政要落实到课程教学环节。从课程知识单元、教学内容（知识点）、教学目标、对应课程目标、学时分配等方面撰写。（正文：宋体、五号、固定值18磅行距）</w:t>
      </w:r>
    </w:p>
    <w:p w14:paraId="30D0E778">
      <w:pPr>
        <w:adjustRightInd w:val="0"/>
        <w:spacing w:line="360" w:lineRule="exact"/>
        <w:jc w:val="center"/>
        <w:rPr>
          <w:rFonts w:cs="仿宋" w:asciiTheme="minorEastAsia" w:hAnsiTheme="minorEastAsia" w:eastAsiaTheme="minorEastAsia"/>
          <w:b/>
          <w:color w:val="000000"/>
          <w:szCs w:val="21"/>
        </w:rPr>
      </w:pPr>
      <w:r>
        <w:rPr>
          <w:rFonts w:hint="eastAsia" w:cs="仿宋" w:asciiTheme="minorEastAsia" w:hAnsiTheme="minorEastAsia" w:eastAsiaTheme="minorEastAsia"/>
          <w:b/>
          <w:color w:val="000000"/>
          <w:szCs w:val="21"/>
        </w:rPr>
        <w:t>表5-1 课程知识单元、教学内容（知识点）、课程目标及学时分配对应关系</w:t>
      </w:r>
    </w:p>
    <w:tbl>
      <w:tblPr>
        <w:tblStyle w:val="3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3488"/>
        <w:gridCol w:w="2547"/>
        <w:gridCol w:w="1120"/>
        <w:gridCol w:w="969"/>
      </w:tblGrid>
      <w:tr w14:paraId="68CB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3A7E9B15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知识</w:t>
            </w:r>
          </w:p>
          <w:p w14:paraId="4482AEBE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单元</w:t>
            </w:r>
          </w:p>
        </w:tc>
        <w:tc>
          <w:tcPr>
            <w:tcW w:w="3488" w:type="dxa"/>
            <w:vAlign w:val="center"/>
          </w:tcPr>
          <w:p w14:paraId="2C4ADD75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教学内容（知识点）</w:t>
            </w:r>
          </w:p>
        </w:tc>
        <w:tc>
          <w:tcPr>
            <w:tcW w:w="2547" w:type="dxa"/>
            <w:vAlign w:val="center"/>
          </w:tcPr>
          <w:p w14:paraId="615851D1">
            <w:pPr>
              <w:spacing w:line="360" w:lineRule="exact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教学目标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含思政目标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120" w:type="dxa"/>
            <w:vAlign w:val="center"/>
          </w:tcPr>
          <w:p w14:paraId="567CF82C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对应课程目标</w:t>
            </w:r>
          </w:p>
        </w:tc>
        <w:tc>
          <w:tcPr>
            <w:tcW w:w="969" w:type="dxa"/>
            <w:vAlign w:val="center"/>
          </w:tcPr>
          <w:p w14:paraId="408A7476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学时</w:t>
            </w:r>
          </w:p>
          <w:p w14:paraId="2E8FE260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分配</w:t>
            </w:r>
          </w:p>
        </w:tc>
      </w:tr>
      <w:tr w14:paraId="1821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restart"/>
            <w:vAlign w:val="center"/>
          </w:tcPr>
          <w:p w14:paraId="612E3948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第一章</w:t>
            </w:r>
          </w:p>
        </w:tc>
        <w:tc>
          <w:tcPr>
            <w:tcW w:w="3488" w:type="dxa"/>
          </w:tcPr>
          <w:p w14:paraId="0969CA5E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2547" w:type="dxa"/>
            <w:vMerge w:val="restart"/>
          </w:tcPr>
          <w:p w14:paraId="34464F9C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2AAEDC5B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FF0000"/>
                <w:szCs w:val="21"/>
              </w:rPr>
              <w:t>CO1</w:t>
            </w:r>
          </w:p>
        </w:tc>
        <w:tc>
          <w:tcPr>
            <w:tcW w:w="969" w:type="dxa"/>
            <w:vMerge w:val="restart"/>
          </w:tcPr>
          <w:p w14:paraId="427825C2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0768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continue"/>
            <w:vAlign w:val="center"/>
          </w:tcPr>
          <w:p w14:paraId="253F987B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3488" w:type="dxa"/>
          </w:tcPr>
          <w:p w14:paraId="2D0A688B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2547" w:type="dxa"/>
            <w:vMerge w:val="continue"/>
          </w:tcPr>
          <w:p w14:paraId="0D68DB56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120" w:type="dxa"/>
            <w:vMerge w:val="continue"/>
          </w:tcPr>
          <w:p w14:paraId="516F3ED6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vMerge w:val="continue"/>
          </w:tcPr>
          <w:p w14:paraId="3058B197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164E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6" w:type="dxa"/>
            <w:vMerge w:val="continue"/>
            <w:vAlign w:val="center"/>
          </w:tcPr>
          <w:p w14:paraId="667900CF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3488" w:type="dxa"/>
          </w:tcPr>
          <w:p w14:paraId="74FAECCD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2547" w:type="dxa"/>
            <w:vMerge w:val="continue"/>
          </w:tcPr>
          <w:p w14:paraId="264E437E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120" w:type="dxa"/>
            <w:vMerge w:val="continue"/>
          </w:tcPr>
          <w:p w14:paraId="44E6D0C5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vMerge w:val="continue"/>
          </w:tcPr>
          <w:p w14:paraId="1C4F6371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2787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restart"/>
            <w:vAlign w:val="center"/>
          </w:tcPr>
          <w:p w14:paraId="449E3DB8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第二章</w:t>
            </w:r>
          </w:p>
        </w:tc>
        <w:tc>
          <w:tcPr>
            <w:tcW w:w="3488" w:type="dxa"/>
          </w:tcPr>
          <w:p w14:paraId="00EE7FB0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2547" w:type="dxa"/>
            <w:vMerge w:val="restart"/>
          </w:tcPr>
          <w:p w14:paraId="050A944F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5955CA06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FF0000"/>
                <w:szCs w:val="21"/>
              </w:rPr>
              <w:t>CO2</w:t>
            </w:r>
          </w:p>
        </w:tc>
        <w:tc>
          <w:tcPr>
            <w:tcW w:w="969" w:type="dxa"/>
            <w:vMerge w:val="restart"/>
          </w:tcPr>
          <w:p w14:paraId="07265870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1925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continue"/>
            <w:vAlign w:val="center"/>
          </w:tcPr>
          <w:p w14:paraId="760F8AC0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3488" w:type="dxa"/>
          </w:tcPr>
          <w:p w14:paraId="051FAF08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2547" w:type="dxa"/>
            <w:vMerge w:val="continue"/>
          </w:tcPr>
          <w:p w14:paraId="0A4B307C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120" w:type="dxa"/>
            <w:vMerge w:val="continue"/>
          </w:tcPr>
          <w:p w14:paraId="75A97E4C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vMerge w:val="continue"/>
          </w:tcPr>
          <w:p w14:paraId="6E49DB4C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7A8F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continue"/>
            <w:vAlign w:val="center"/>
          </w:tcPr>
          <w:p w14:paraId="7D09F21A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3488" w:type="dxa"/>
          </w:tcPr>
          <w:p w14:paraId="37B70920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2547" w:type="dxa"/>
            <w:vMerge w:val="continue"/>
          </w:tcPr>
          <w:p w14:paraId="03B493B8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120" w:type="dxa"/>
            <w:vMerge w:val="continue"/>
          </w:tcPr>
          <w:p w14:paraId="35CD34BD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vMerge w:val="continue"/>
          </w:tcPr>
          <w:p w14:paraId="216A985F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5CCE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restart"/>
            <w:vAlign w:val="center"/>
          </w:tcPr>
          <w:p w14:paraId="18F65296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第三章</w:t>
            </w:r>
          </w:p>
        </w:tc>
        <w:tc>
          <w:tcPr>
            <w:tcW w:w="3488" w:type="dxa"/>
          </w:tcPr>
          <w:p w14:paraId="06A5FDA1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2547" w:type="dxa"/>
            <w:vMerge w:val="restart"/>
          </w:tcPr>
          <w:p w14:paraId="376F9063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115432F9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FF0000"/>
                <w:szCs w:val="21"/>
              </w:rPr>
              <w:t>CO3</w:t>
            </w:r>
          </w:p>
        </w:tc>
        <w:tc>
          <w:tcPr>
            <w:tcW w:w="969" w:type="dxa"/>
            <w:vMerge w:val="restart"/>
          </w:tcPr>
          <w:p w14:paraId="023393D3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26EC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continue"/>
          </w:tcPr>
          <w:p w14:paraId="160DAB19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  <w:tc>
          <w:tcPr>
            <w:tcW w:w="3488" w:type="dxa"/>
          </w:tcPr>
          <w:p w14:paraId="66540C4C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2547" w:type="dxa"/>
            <w:vMerge w:val="continue"/>
          </w:tcPr>
          <w:p w14:paraId="52D47804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  <w:tc>
          <w:tcPr>
            <w:tcW w:w="1120" w:type="dxa"/>
            <w:vMerge w:val="continue"/>
          </w:tcPr>
          <w:p w14:paraId="2499DB9B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  <w:tc>
          <w:tcPr>
            <w:tcW w:w="969" w:type="dxa"/>
            <w:vMerge w:val="continue"/>
          </w:tcPr>
          <w:p w14:paraId="59B13B03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</w:tr>
      <w:tr w14:paraId="6CF3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continue"/>
          </w:tcPr>
          <w:p w14:paraId="576B607C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  <w:tc>
          <w:tcPr>
            <w:tcW w:w="3488" w:type="dxa"/>
          </w:tcPr>
          <w:p w14:paraId="4E40EFF1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2547" w:type="dxa"/>
            <w:vMerge w:val="continue"/>
          </w:tcPr>
          <w:p w14:paraId="3B822290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  <w:tc>
          <w:tcPr>
            <w:tcW w:w="1120" w:type="dxa"/>
            <w:vMerge w:val="continue"/>
          </w:tcPr>
          <w:p w14:paraId="073C5F4B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  <w:tc>
          <w:tcPr>
            <w:tcW w:w="969" w:type="dxa"/>
            <w:vMerge w:val="continue"/>
          </w:tcPr>
          <w:p w14:paraId="5F5A32F8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</w:tr>
    </w:tbl>
    <w:p w14:paraId="3E570AD7">
      <w:pPr>
        <w:spacing w:line="360" w:lineRule="exac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思政融合点1：第*章</w:t>
      </w:r>
    </w:p>
    <w:p w14:paraId="5C1EF042">
      <w:pPr>
        <w:spacing w:line="360" w:lineRule="exac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思政融合点2：第*章</w:t>
      </w:r>
    </w:p>
    <w:p w14:paraId="7260B381">
      <w:pPr>
        <w:spacing w:line="360" w:lineRule="exac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……</w:t>
      </w:r>
    </w:p>
    <w:p w14:paraId="3B736649">
      <w:pPr>
        <w:spacing w:line="360" w:lineRule="exac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思政融合点j：第*章</w:t>
      </w:r>
    </w:p>
    <w:p w14:paraId="4C414C39">
      <w:pPr>
        <w:spacing w:line="360" w:lineRule="exact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注：教学目标须通过“能够”“了解”“理解”等词汇来描述。</w:t>
      </w:r>
    </w:p>
    <w:p w14:paraId="3CB30AD2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六、课程考核评价</w:t>
      </w:r>
    </w:p>
    <w:p w14:paraId="6380D424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1.总评计分制：</w:t>
      </w:r>
      <w:r>
        <w:rPr>
          <w:rFonts w:hint="eastAsia" w:cs="仿宋" w:asciiTheme="minorEastAsia" w:hAnsiTheme="minorEastAsia" w:eastAsiaTheme="minorEastAsia"/>
          <w:szCs w:val="21"/>
        </w:rPr>
        <w:t>百分制</w:t>
      </w:r>
    </w:p>
    <w:p w14:paraId="77BEFE42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2.考核方式：</w:t>
      </w:r>
      <w:r>
        <w:rPr>
          <w:rFonts w:hint="eastAsia" w:cs="仿宋" w:asciiTheme="minorEastAsia" w:hAnsiTheme="minorEastAsia" w:eastAsiaTheme="minorEastAsia"/>
          <w:color w:val="FF0000"/>
          <w:szCs w:val="21"/>
        </w:rPr>
        <w:t>考试（开卷考/闭卷考）或考查（大作业等形式）</w:t>
      </w:r>
    </w:p>
    <w:p w14:paraId="19901FFE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3.考核点支撑课程目标关系</w:t>
      </w:r>
    </w:p>
    <w:p w14:paraId="572EBC4E">
      <w:pPr>
        <w:pStyle w:val="5"/>
        <w:spacing w:line="360" w:lineRule="exact"/>
        <w:ind w:firstLine="422"/>
        <w:jc w:val="center"/>
        <w:rPr>
          <w:rFonts w:asciiTheme="minorEastAsia" w:hAnsiTheme="minorEastAsia" w:eastAsiaTheme="minorEastAsia"/>
          <w:highlight w:val="yellow"/>
        </w:rPr>
      </w:pPr>
      <w:r>
        <w:rPr>
          <w:rFonts w:hint="eastAsia" w:cs="仿宋" w:asciiTheme="minorEastAsia" w:hAnsiTheme="minorEastAsia" w:eastAsiaTheme="minorEastAsia"/>
          <w:b/>
          <w:color w:val="000000"/>
        </w:rPr>
        <w:t>表6-1</w:t>
      </w:r>
      <w:r>
        <w:rPr>
          <w:rFonts w:hint="eastAsia" w:cs="仿宋" w:asciiTheme="minorEastAsia" w:hAnsiTheme="minorEastAsia" w:eastAsiaTheme="minorEastAsia"/>
          <w:b/>
          <w:color w:val="000000"/>
          <w:kern w:val="2"/>
        </w:rPr>
        <w:t xml:space="preserve"> 课程考核与成绩评定方法</w:t>
      </w:r>
    </w:p>
    <w:tbl>
      <w:tblPr>
        <w:tblStyle w:val="3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3524"/>
        <w:gridCol w:w="2150"/>
        <w:gridCol w:w="2366"/>
      </w:tblGrid>
      <w:tr w14:paraId="5092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14:paraId="1FBB6C2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考核项目</w:t>
            </w:r>
          </w:p>
        </w:tc>
        <w:tc>
          <w:tcPr>
            <w:tcW w:w="3524" w:type="dxa"/>
            <w:vAlign w:val="center"/>
          </w:tcPr>
          <w:p w14:paraId="1F52D8F2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考核内容</w:t>
            </w:r>
          </w:p>
        </w:tc>
        <w:tc>
          <w:tcPr>
            <w:tcW w:w="2150" w:type="dxa"/>
            <w:vAlign w:val="center"/>
          </w:tcPr>
          <w:p w14:paraId="46A971D9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考核关联的课程目标</w:t>
            </w:r>
          </w:p>
        </w:tc>
        <w:tc>
          <w:tcPr>
            <w:tcW w:w="2366" w:type="dxa"/>
            <w:vAlign w:val="center"/>
          </w:tcPr>
          <w:p w14:paraId="6332389F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占总评成绩的比重</w:t>
            </w:r>
          </w:p>
        </w:tc>
      </w:tr>
      <w:tr w14:paraId="621F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7E456B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平时成绩</w:t>
            </w:r>
          </w:p>
        </w:tc>
        <w:tc>
          <w:tcPr>
            <w:tcW w:w="3524" w:type="dxa"/>
            <w:vAlign w:val="center"/>
          </w:tcPr>
          <w:p w14:paraId="05C83397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150" w:type="dxa"/>
            <w:vAlign w:val="center"/>
          </w:tcPr>
          <w:p w14:paraId="25E408EC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0C535ED2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%</w:t>
            </w:r>
          </w:p>
        </w:tc>
      </w:tr>
      <w:tr w14:paraId="3B47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0F0CD1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3524" w:type="dxa"/>
            <w:vAlign w:val="center"/>
          </w:tcPr>
          <w:p w14:paraId="43AF6325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150" w:type="dxa"/>
            <w:vAlign w:val="center"/>
          </w:tcPr>
          <w:p w14:paraId="6EC12A23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22CD97A8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%</w:t>
            </w:r>
          </w:p>
        </w:tc>
      </w:tr>
      <w:tr w14:paraId="0B92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9779B09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3524" w:type="dxa"/>
            <w:vAlign w:val="center"/>
          </w:tcPr>
          <w:p w14:paraId="0897415C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150" w:type="dxa"/>
            <w:vAlign w:val="center"/>
          </w:tcPr>
          <w:p w14:paraId="69C5469C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09657CD5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%</w:t>
            </w:r>
          </w:p>
        </w:tc>
      </w:tr>
      <w:tr w14:paraId="2866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14:paraId="6FD15A2E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期末成绩</w:t>
            </w:r>
          </w:p>
        </w:tc>
        <w:tc>
          <w:tcPr>
            <w:tcW w:w="3524" w:type="dxa"/>
            <w:vAlign w:val="center"/>
          </w:tcPr>
          <w:p w14:paraId="113B59DB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150" w:type="dxa"/>
            <w:vAlign w:val="center"/>
          </w:tcPr>
          <w:p w14:paraId="50060F48">
            <w:pPr>
              <w:pStyle w:val="6"/>
              <w:spacing w:line="360" w:lineRule="exact"/>
              <w:ind w:firstLine="420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5C95C643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%</w:t>
            </w:r>
          </w:p>
        </w:tc>
      </w:tr>
      <w:tr w14:paraId="55AB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7" w:type="dxa"/>
            <w:gridSpan w:val="2"/>
            <w:tcMar>
              <w:left w:w="57" w:type="dxa"/>
              <w:right w:w="57" w:type="dxa"/>
            </w:tcMar>
            <w:vAlign w:val="center"/>
          </w:tcPr>
          <w:p w14:paraId="373F16AC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总评成绩</w:t>
            </w:r>
          </w:p>
        </w:tc>
        <w:tc>
          <w:tcPr>
            <w:tcW w:w="2150" w:type="dxa"/>
            <w:vAlign w:val="center"/>
          </w:tcPr>
          <w:p w14:paraId="112FC35E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0F183032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100%</w:t>
            </w:r>
          </w:p>
        </w:tc>
      </w:tr>
    </w:tbl>
    <w:p w14:paraId="27811F71">
      <w:pPr>
        <w:spacing w:line="360" w:lineRule="exact"/>
        <w:ind w:firstLine="422" w:firstLineChars="200"/>
        <w:jc w:val="center"/>
        <w:rPr>
          <w:rFonts w:hint="eastAsia" w:cs="仿宋" w:asciiTheme="minorEastAsia" w:hAnsiTheme="minorEastAsia" w:eastAsiaTheme="minorEastAsia"/>
          <w:b/>
          <w:color w:val="000000"/>
          <w:szCs w:val="21"/>
        </w:rPr>
      </w:pPr>
      <w:r>
        <w:rPr>
          <w:rFonts w:hint="eastAsia" w:cs="仿宋" w:asciiTheme="minorEastAsia" w:hAnsiTheme="minorEastAsia" w:eastAsiaTheme="minorEastAsia"/>
          <w:b/>
          <w:color w:val="000000"/>
          <w:szCs w:val="21"/>
        </w:rPr>
        <w:t>表6-2 考核内容详细评分标准</w:t>
      </w:r>
    </w:p>
    <w:tbl>
      <w:tblPr>
        <w:tblStyle w:val="3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06"/>
        <w:gridCol w:w="1873"/>
        <w:gridCol w:w="1443"/>
        <w:gridCol w:w="1443"/>
        <w:gridCol w:w="1505"/>
        <w:gridCol w:w="1524"/>
      </w:tblGrid>
      <w:tr w14:paraId="7AE3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5" w:hRule="atLeast"/>
          <w:tblHeader/>
          <w:jc w:val="center"/>
        </w:trPr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C0BFE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Cs w:val="21"/>
              </w:rPr>
              <w:t>考核内容</w:t>
            </w:r>
          </w:p>
        </w:tc>
        <w:tc>
          <w:tcPr>
            <w:tcW w:w="7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EFFF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Cs w:val="21"/>
              </w:rPr>
              <w:t>评分标准</w:t>
            </w:r>
          </w:p>
        </w:tc>
      </w:tr>
      <w:tr w14:paraId="2E5C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5" w:hRule="atLeast"/>
          <w:tblHeader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B253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BCF7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优秀</w:t>
            </w:r>
          </w:p>
          <w:p w14:paraId="232D5EFA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（90-100）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A2C2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良好</w:t>
            </w:r>
          </w:p>
          <w:p w14:paraId="6D5BDA60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（80-89）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39CD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中等</w:t>
            </w:r>
          </w:p>
          <w:p w14:paraId="7DF9BF16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（70-79）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91BD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及格</w:t>
            </w:r>
          </w:p>
          <w:p w14:paraId="17D92EE1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（60-69）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9A6E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不及格</w:t>
            </w:r>
          </w:p>
          <w:p w14:paraId="01C1B6F7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（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  <w:lang w:val="en-US" w:eastAsia="zh-CN"/>
              </w:rPr>
              <w:t>&lt;60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）</w:t>
            </w:r>
          </w:p>
        </w:tc>
      </w:tr>
      <w:tr w14:paraId="2F92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88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1F2599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E3B5D">
            <w:pPr>
              <w:spacing w:line="360" w:lineRule="exact"/>
              <w:ind w:left="-53" w:leftChars="-25" w:right="-53" w:rightChars="-25"/>
              <w:rPr>
                <w:rFonts w:cs="仿宋" w:asciiTheme="minorEastAsia" w:hAnsiTheme="minorEastAsia" w:eastAsiaTheme="minorEastAsia"/>
                <w:color w:val="000000"/>
                <w:spacing w:val="-6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FE1384">
            <w:pPr>
              <w:spacing w:line="360" w:lineRule="exact"/>
              <w:ind w:left="-53" w:leftChars="-25" w:right="-53" w:rightChars="-25"/>
              <w:rPr>
                <w:rFonts w:cs="仿宋" w:asciiTheme="minorEastAsia" w:hAnsiTheme="minorEastAsia" w:eastAsiaTheme="minorEastAsia"/>
                <w:color w:val="000000"/>
                <w:spacing w:val="-6"/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0B44A2">
            <w:pPr>
              <w:spacing w:line="360" w:lineRule="exact"/>
              <w:ind w:left="-53" w:leftChars="-25" w:right="-53" w:rightChars="-25"/>
              <w:rPr>
                <w:rFonts w:cs="仿宋" w:asciiTheme="minorEastAsia" w:hAnsiTheme="minorEastAsia" w:eastAsiaTheme="minorEastAsia"/>
                <w:color w:val="000000"/>
                <w:spacing w:val="-6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039FB7">
            <w:pPr>
              <w:spacing w:line="360" w:lineRule="exact"/>
              <w:ind w:left="-53" w:leftChars="-25" w:right="-53" w:rightChars="-25"/>
              <w:rPr>
                <w:rFonts w:cs="仿宋" w:asciiTheme="minorEastAsia" w:hAnsiTheme="minorEastAsia" w:eastAsiaTheme="minorEastAsia"/>
                <w:spacing w:val="-6"/>
                <w:szCs w:val="21"/>
              </w:rPr>
            </w:pPr>
          </w:p>
        </w:tc>
      </w:tr>
      <w:tr w14:paraId="0ABC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DC4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FF713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C3623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A41DE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D3FF2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450FC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6895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85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3144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B89F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2542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B5FE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15D3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 w14:paraId="69C752F3">
      <w:pPr>
        <w:adjustRightInd w:val="0"/>
        <w:snapToGrid w:val="0"/>
        <w:spacing w:line="360" w:lineRule="exact"/>
        <w:ind w:firstLine="420" w:firstLineChars="200"/>
        <w:rPr>
          <w:rFonts w:hint="default"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注：</w:t>
      </w:r>
      <w:r>
        <w:rPr>
          <w:rFonts w:hint="default" w:cs="仿宋" w:asciiTheme="minorEastAsia" w:hAnsiTheme="minorEastAsia" w:eastAsiaTheme="minorEastAsia"/>
          <w:szCs w:val="21"/>
        </w:rPr>
        <w:t>期末考试按照参考答案和评分标准进行评分，平时成绩所占比例不低于40%。</w:t>
      </w:r>
    </w:p>
    <w:p w14:paraId="0DEA1F63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七、教材及教学参考书</w:t>
      </w:r>
    </w:p>
    <w:p w14:paraId="489C8A45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编写建议：课程思政要落实到教材编审选用。推荐不少于3本的教材及教学参考书，书写格式：教材名称，主编（作者或译者），国际标准书号（ISBN，用“-”隔开数字），出版社，出版时间，出版国家（仅用于境外教材）。鼓励采用自编讲义，完善课程教学资源库建设。（正文：宋体、五号、固定值18磅行距）</w:t>
      </w:r>
    </w:p>
    <w:p w14:paraId="60947071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八、其他说明</w:t>
      </w:r>
    </w:p>
    <w:p w14:paraId="7827E60E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编写建议：课程教学网站、教学参考网站、专业期刊。（正文：宋体、五号、固定值18磅行距）</w:t>
      </w:r>
    </w:p>
    <w:p w14:paraId="3FBADE6F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九、编制与审核</w:t>
      </w:r>
    </w:p>
    <w:p w14:paraId="7D1DDBB2">
      <w:pPr>
        <w:spacing w:line="360" w:lineRule="exact"/>
        <w:ind w:firstLine="422" w:firstLineChars="200"/>
        <w:jc w:val="center"/>
        <w:rPr>
          <w:rFonts w:cs="仿宋" w:asciiTheme="minorEastAsia" w:hAnsiTheme="minorEastAsia" w:eastAsiaTheme="minorEastAsia"/>
          <w:b/>
          <w:color w:val="000000"/>
          <w:szCs w:val="21"/>
        </w:rPr>
      </w:pPr>
      <w:r>
        <w:rPr>
          <w:rFonts w:hint="eastAsia" w:cs="仿宋" w:asciiTheme="minorEastAsia" w:hAnsiTheme="minorEastAsia" w:eastAsiaTheme="minorEastAsia"/>
          <w:b/>
          <w:color w:val="000000"/>
          <w:szCs w:val="21"/>
        </w:rPr>
        <w:t>表9-1大纲编制与审核信息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526"/>
        <w:gridCol w:w="1546"/>
        <w:gridCol w:w="1921"/>
      </w:tblGrid>
      <w:tr w14:paraId="64D6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 w14:paraId="7AD59DF4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Cs w:val="21"/>
              </w:rPr>
              <w:t>工作内容</w:t>
            </w:r>
          </w:p>
        </w:tc>
        <w:tc>
          <w:tcPr>
            <w:tcW w:w="3526" w:type="dxa"/>
          </w:tcPr>
          <w:p w14:paraId="54550D16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Cs w:val="21"/>
              </w:rPr>
              <w:t>责任部门或机构</w:t>
            </w:r>
          </w:p>
        </w:tc>
        <w:tc>
          <w:tcPr>
            <w:tcW w:w="1546" w:type="dxa"/>
          </w:tcPr>
          <w:p w14:paraId="3A735A3E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Cs w:val="21"/>
              </w:rPr>
              <w:t>负责人</w:t>
            </w:r>
          </w:p>
        </w:tc>
        <w:tc>
          <w:tcPr>
            <w:tcW w:w="1921" w:type="dxa"/>
          </w:tcPr>
          <w:p w14:paraId="1E5609C0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Cs w:val="21"/>
              </w:rPr>
              <w:t>完成时间</w:t>
            </w:r>
          </w:p>
        </w:tc>
      </w:tr>
      <w:tr w14:paraId="77E5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 w14:paraId="3C73368D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执笔</w:t>
            </w:r>
          </w:p>
        </w:tc>
        <w:tc>
          <w:tcPr>
            <w:tcW w:w="3526" w:type="dxa"/>
          </w:tcPr>
          <w:p w14:paraId="64B5906F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546" w:type="dxa"/>
          </w:tcPr>
          <w:p w14:paraId="0DD62381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21" w:type="dxa"/>
          </w:tcPr>
          <w:p w14:paraId="36A7D86F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Cs w:val="21"/>
                <w:u w:val="single"/>
              </w:rPr>
            </w:pPr>
          </w:p>
        </w:tc>
      </w:tr>
      <w:tr w14:paraId="0BB8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 w14:paraId="0A195FFC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审核</w:t>
            </w:r>
          </w:p>
        </w:tc>
        <w:tc>
          <w:tcPr>
            <w:tcW w:w="3526" w:type="dxa"/>
          </w:tcPr>
          <w:p w14:paraId="6B5BC5A1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546" w:type="dxa"/>
          </w:tcPr>
          <w:p w14:paraId="0326BBB1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21" w:type="dxa"/>
          </w:tcPr>
          <w:p w14:paraId="3034607E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Cs w:val="21"/>
                <w:u w:val="single"/>
              </w:rPr>
            </w:pPr>
          </w:p>
        </w:tc>
      </w:tr>
      <w:tr w14:paraId="48FC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 w14:paraId="74FB1E60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审定</w:t>
            </w:r>
          </w:p>
        </w:tc>
        <w:tc>
          <w:tcPr>
            <w:tcW w:w="3526" w:type="dxa"/>
          </w:tcPr>
          <w:p w14:paraId="69171EED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××学院教学工作相关委员会</w:t>
            </w:r>
          </w:p>
        </w:tc>
        <w:tc>
          <w:tcPr>
            <w:tcW w:w="1546" w:type="dxa"/>
          </w:tcPr>
          <w:p w14:paraId="06627A24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21" w:type="dxa"/>
          </w:tcPr>
          <w:p w14:paraId="10E2B981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Cs w:val="21"/>
                <w:u w:val="single"/>
              </w:rPr>
            </w:pPr>
          </w:p>
        </w:tc>
      </w:tr>
    </w:tbl>
    <w:p w14:paraId="623FC511">
      <w:pPr>
        <w:spacing w:line="360" w:lineRule="exact"/>
        <w:rPr>
          <w:rFonts w:asciiTheme="minorEastAsia" w:hAnsiTheme="minorEastAsia" w:eastAsiaTheme="minorEastAsia"/>
          <w:szCs w:val="21"/>
        </w:rPr>
      </w:pPr>
    </w:p>
    <w:p w14:paraId="2B97FDAA"/>
    <w:sectPr>
      <w:pgSz w:w="11906" w:h="16838"/>
      <w:pgMar w:top="1440" w:right="1134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602C2"/>
    <w:rsid w:val="11E602C2"/>
    <w:rsid w:val="1F580591"/>
    <w:rsid w:val="29D44E87"/>
    <w:rsid w:val="3A9C574C"/>
    <w:rsid w:val="44E45734"/>
    <w:rsid w:val="644B60E6"/>
    <w:rsid w:val="7B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纯文本1"/>
    <w:basedOn w:val="1"/>
    <w:qFormat/>
    <w:uiPriority w:val="99"/>
    <w:pPr>
      <w:ind w:firstLine="200" w:firstLineChars="200"/>
    </w:pPr>
    <w:rPr>
      <w:rFonts w:ascii="宋体" w:hAnsi="Courier New"/>
      <w:kern w:val="0"/>
      <w:szCs w:val="21"/>
    </w:rPr>
  </w:style>
  <w:style w:type="paragraph" w:customStyle="1" w:styleId="6">
    <w:name w:val="在表格内文字"/>
    <w:basedOn w:val="1"/>
    <w:qFormat/>
    <w:uiPriority w:val="0"/>
    <w:rPr>
      <w:rFonts w:ascii="Times New Roman" w:hAnsi="Times New Roman" w:eastAsia="楷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1305</Words>
  <Characters>1387</Characters>
  <Lines>0</Lines>
  <Paragraphs>0</Paragraphs>
  <TotalTime>0</TotalTime>
  <ScaleCrop>false</ScaleCrop>
  <LinksUpToDate>false</LinksUpToDate>
  <CharactersWithSpaces>1394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2025-07-07T12:29:00Z</dcterms:created>
  <dc:creator>王静</dc:creator>
  <cp:lastModifiedBy>飞燕</cp:lastModifiedBy>
  <dcterms:modified xsi:type="dcterms:W3CDTF">2025-12-02T02:54:08Z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62C19AE0BF9A4833A3C04EAFB0424B43_11</vt:lpwstr>
  </property>
  <property fmtid="{D5CDD505-2E9C-101B-9397-08002B2CF9AE}" pid="4" name="KSOTemplateDocerSaveRecord">
    <vt:lpwstr>eyJoZGlkIjoiZDM0MmFmN2ZhMjJiMDE2MzQxZTg1YzdiN2EzZDA4ZjMiLCJ1c2VySWQiOiIyNjczMDc3NDkifQ==</vt:lpwstr>
  </property>
</Properties>
</file>