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BB4836">
      <w:pPr>
        <w:pStyle w:val="2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right="0" w:firstLine="420"/>
        <w:jc w:val="center"/>
        <w:textAlignment w:val="auto"/>
        <w:rPr>
          <w:rFonts w:hint="eastAsia" w:ascii="方正大标宋_GBK" w:hAnsi="方正大标宋_GBK" w:eastAsia="方正大标宋_GBK" w:cs="方正大标宋_GBK"/>
          <w:b w:val="0"/>
          <w:bCs/>
          <w:i w:val="0"/>
          <w:iCs w:val="0"/>
          <w:caps w:val="0"/>
          <w:color w:val="3B3B3B"/>
          <w:spacing w:val="0"/>
          <w:sz w:val="40"/>
          <w:szCs w:val="40"/>
        </w:rPr>
      </w:pPr>
      <w:r>
        <w:rPr>
          <w:rStyle w:val="5"/>
          <w:rFonts w:hint="eastAsia" w:ascii="方正大标宋_GBK" w:hAnsi="方正大标宋_GBK" w:eastAsia="方正大标宋_GBK" w:cs="方正大标宋_GBK"/>
          <w:b w:val="0"/>
          <w:bCs/>
          <w:i w:val="0"/>
          <w:iCs w:val="0"/>
          <w:caps w:val="0"/>
          <w:color w:val="3B3B3B"/>
          <w:spacing w:val="0"/>
          <w:sz w:val="40"/>
          <w:szCs w:val="40"/>
          <w:lang w:val="en-US" w:eastAsia="zh-CN"/>
        </w:rPr>
        <w:t>温州理工学院</w:t>
      </w:r>
      <w:r>
        <w:rPr>
          <w:rStyle w:val="5"/>
          <w:rFonts w:hint="eastAsia" w:ascii="方正大标宋_GBK" w:hAnsi="方正大标宋_GBK" w:eastAsia="方正大标宋_GBK" w:cs="方正大标宋_GBK"/>
          <w:b w:val="0"/>
          <w:bCs/>
          <w:i w:val="0"/>
          <w:iCs w:val="0"/>
          <w:caps w:val="0"/>
          <w:color w:val="3B3B3B"/>
          <w:spacing w:val="0"/>
          <w:sz w:val="40"/>
          <w:szCs w:val="40"/>
        </w:rPr>
        <w:t>关于教授为本科生授课的规定</w:t>
      </w:r>
    </w:p>
    <w:p w14:paraId="58BA91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right="0"/>
        <w:jc w:val="center"/>
        <w:textAlignment w:val="auto"/>
        <w:rPr>
          <w:rFonts w:hint="eastAsia" w:ascii="方正仿宋_GB2312" w:hAnsi="方正仿宋_GB2312" w:eastAsia="方正仿宋_GB2312" w:cs="方正仿宋_GB2312"/>
          <w:bCs/>
          <w:color w:val="000000" w:themeColor="text1"/>
          <w:kern w:val="0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方正仿宋_GB2312" w:hAnsi="方正仿宋_GB2312" w:eastAsia="方正仿宋_GB2312" w:cs="方正仿宋_GB2312"/>
          <w:bCs/>
          <w:color w:val="000000" w:themeColor="text1"/>
          <w:kern w:val="0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方正仿宋_GB2312" w:hAnsi="方正仿宋_GB2312" w:eastAsia="方正仿宋_GB2312" w:cs="方正仿宋_GB2312"/>
          <w:bCs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征求意见稿</w:t>
      </w:r>
      <w:r>
        <w:rPr>
          <w:rFonts w:hint="eastAsia" w:ascii="方正仿宋_GB2312" w:hAnsi="方正仿宋_GB2312" w:eastAsia="方正仿宋_GB2312" w:cs="方正仿宋_GB2312"/>
          <w:bCs/>
          <w:color w:val="000000" w:themeColor="text1"/>
          <w:kern w:val="0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）</w:t>
      </w:r>
    </w:p>
    <w:p w14:paraId="65310B17">
      <w:pPr>
        <w:pStyle w:val="2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right="0" w:firstLine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</w:rPr>
      </w:pPr>
    </w:p>
    <w:p w14:paraId="50FB6E9C">
      <w:pPr>
        <w:pStyle w:val="2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</w:rPr>
      </w:pPr>
      <w:r>
        <w:rPr>
          <w:rFonts w:hint="default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lang w:val="en-US" w:eastAsia="zh-CN"/>
        </w:rPr>
        <w:t>为全面贯彻习近平总书记关于教育的重要论述及全国教育大会精神，根据《教育部等六部门关于加强新时代高校教师队伍建设改革的指导意见》（教师〔</w:t>
      </w:r>
      <w:r>
        <w:rPr>
          <w:rFonts w:hint="default" w:ascii="Times New Roman" w:hAnsi="Times New Roman" w:eastAsia="仿宋_GB2312" w:cs="仿宋_GB2312"/>
          <w:i w:val="0"/>
          <w:iCs w:val="0"/>
          <w:caps w:val="0"/>
          <w:color w:val="auto"/>
          <w:spacing w:val="0"/>
          <w:sz w:val="32"/>
          <w:szCs w:val="32"/>
          <w:lang w:val="en-US" w:eastAsia="zh-CN"/>
        </w:rPr>
        <w:t>2020</w:t>
      </w:r>
      <w:r>
        <w:rPr>
          <w:rFonts w:hint="default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lang w:val="en-US" w:eastAsia="zh-CN"/>
        </w:rPr>
        <w:t>〕</w:t>
      </w:r>
      <w:r>
        <w:rPr>
          <w:rFonts w:hint="default" w:ascii="Times New Roman" w:hAnsi="Times New Roman" w:eastAsia="仿宋_GB2312" w:cs="仿宋_GB2312"/>
          <w:i w:val="0"/>
          <w:iCs w:val="0"/>
          <w:caps w:val="0"/>
          <w:color w:val="auto"/>
          <w:spacing w:val="0"/>
          <w:sz w:val="32"/>
          <w:szCs w:val="32"/>
          <w:lang w:val="en-US" w:eastAsia="zh-CN"/>
        </w:rPr>
        <w:t>10</w:t>
      </w:r>
      <w:r>
        <w:rPr>
          <w:rFonts w:hint="default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lang w:val="en-US" w:eastAsia="zh-CN"/>
        </w:rPr>
        <w:t>号）</w:t>
      </w:r>
      <w:r>
        <w:rPr>
          <w:rFonts w:hint="default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lang w:val="en-US" w:eastAsia="zh-CN"/>
        </w:rPr>
        <w:t>、《教育部关于深化本科教育教学改革全面提高人才培养质量的意见》（教高〔</w:t>
      </w:r>
      <w:r>
        <w:rPr>
          <w:rFonts w:hint="default" w:ascii="Times New Roman" w:hAnsi="Times New Roman" w:eastAsia="仿宋_GB2312" w:cs="仿宋_GB2312"/>
          <w:i w:val="0"/>
          <w:iCs w:val="0"/>
          <w:caps w:val="0"/>
          <w:color w:val="auto"/>
          <w:spacing w:val="0"/>
          <w:sz w:val="32"/>
          <w:szCs w:val="32"/>
          <w:lang w:val="en-US" w:eastAsia="zh-CN"/>
        </w:rPr>
        <w:t>2019</w:t>
      </w:r>
      <w:r>
        <w:rPr>
          <w:rFonts w:hint="default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lang w:val="en-US" w:eastAsia="zh-CN"/>
        </w:rPr>
        <w:t>〕</w:t>
      </w:r>
      <w:r>
        <w:rPr>
          <w:rFonts w:hint="default" w:ascii="Times New Roman" w:hAnsi="Times New Roman" w:eastAsia="仿宋_GB2312" w:cs="仿宋_GB2312"/>
          <w:i w:val="0"/>
          <w:iCs w:val="0"/>
          <w:caps w:val="0"/>
          <w:color w:val="auto"/>
          <w:spacing w:val="0"/>
          <w:sz w:val="32"/>
          <w:szCs w:val="32"/>
          <w:lang w:val="en-US" w:eastAsia="zh-CN"/>
        </w:rPr>
        <w:t>6</w:t>
      </w:r>
      <w:r>
        <w:rPr>
          <w:rFonts w:hint="default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lang w:val="en-US" w:eastAsia="zh-CN"/>
        </w:rPr>
        <w:t>号）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lang w:val="en-US" w:eastAsia="zh-CN"/>
        </w:rPr>
        <w:t>、《教育部关于一流本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lang w:val="en-US" w:eastAsia="zh-CN"/>
        </w:rPr>
        <w:t>科课程建设的实施意见》（教高〔</w:t>
      </w:r>
      <w:r>
        <w:rPr>
          <w:rFonts w:hint="eastAsia" w:ascii="Times New Roman" w:hAnsi="Times New Roman" w:eastAsia="仿宋_GB2312" w:cs="仿宋_GB2312"/>
          <w:i w:val="0"/>
          <w:iCs w:val="0"/>
          <w:caps w:val="0"/>
          <w:color w:val="auto"/>
          <w:spacing w:val="0"/>
          <w:sz w:val="32"/>
          <w:szCs w:val="32"/>
          <w:lang w:val="en-US" w:eastAsia="zh-CN"/>
        </w:rPr>
        <w:t>2019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lang w:val="en-US" w:eastAsia="zh-CN"/>
        </w:rPr>
        <w:t>〕</w:t>
      </w:r>
      <w:r>
        <w:rPr>
          <w:rFonts w:hint="eastAsia" w:ascii="Times New Roman" w:hAnsi="Times New Roman" w:eastAsia="仿宋_GB2312" w:cs="仿宋_GB2312"/>
          <w:i w:val="0"/>
          <w:iCs w:val="0"/>
          <w:caps w:val="0"/>
          <w:color w:val="auto"/>
          <w:spacing w:val="0"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lang w:val="en-US" w:eastAsia="zh-CN"/>
        </w:rPr>
        <w:t>号）、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lang w:val="en-US" w:eastAsia="zh-CN"/>
        </w:rPr>
        <w:t>《浙江省教育厅关于加快建设高水平本科教育的实施意见》（</w:t>
      </w:r>
      <w:r>
        <w:rPr>
          <w:rFonts w:hint="default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lang w:val="en-US" w:eastAsia="zh-CN"/>
        </w:rPr>
        <w:t>浙教高教〔</w:t>
      </w:r>
      <w:r>
        <w:rPr>
          <w:rFonts w:hint="default" w:ascii="Times New Roman" w:hAnsi="Times New Roman" w:eastAsia="仿宋_GB2312" w:cs="仿宋_GB2312"/>
          <w:i w:val="0"/>
          <w:iCs w:val="0"/>
          <w:caps w:val="0"/>
          <w:color w:val="auto"/>
          <w:spacing w:val="0"/>
          <w:sz w:val="32"/>
          <w:szCs w:val="32"/>
          <w:lang w:val="en-US" w:eastAsia="zh-CN"/>
        </w:rPr>
        <w:t>2018</w:t>
      </w:r>
      <w:r>
        <w:rPr>
          <w:rFonts w:hint="default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lang w:val="en-US" w:eastAsia="zh-CN"/>
        </w:rPr>
        <w:t>〕</w:t>
      </w:r>
      <w:r>
        <w:rPr>
          <w:rFonts w:hint="default" w:ascii="Times New Roman" w:hAnsi="Times New Roman" w:eastAsia="仿宋_GB2312" w:cs="仿宋_GB2312"/>
          <w:i w:val="0"/>
          <w:iCs w:val="0"/>
          <w:caps w:val="0"/>
          <w:color w:val="auto"/>
          <w:spacing w:val="0"/>
          <w:sz w:val="32"/>
          <w:szCs w:val="32"/>
          <w:lang w:val="en-US" w:eastAsia="zh-CN"/>
        </w:rPr>
        <w:t>101</w:t>
      </w:r>
      <w:r>
        <w:rPr>
          <w:rFonts w:hint="default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lang w:val="en-US" w:eastAsia="zh-CN"/>
        </w:rPr>
        <w:t>号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lang w:val="en-US" w:eastAsia="zh-CN"/>
        </w:rPr>
        <w:t>）、浙江省教育厅《关于进一步加强和改进高等学校教育教学工作的若干意见》</w:t>
      </w:r>
      <w:r>
        <w:rPr>
          <w:rFonts w:hint="default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lang w:val="en-US" w:eastAsia="zh-CN"/>
        </w:rPr>
        <w:t>等文件要求，切实落实教授为本科生授课制度，巩固本科教学基础地位，提升本科教学质量，结合学校实际，制定本规定。</w:t>
      </w:r>
    </w:p>
    <w:p w14:paraId="6B97AFDF">
      <w:pPr>
        <w:pStyle w:val="2"/>
        <w:keepNext w:val="0"/>
        <w:keepLines w:val="0"/>
        <w:pageBreakBefore w:val="0"/>
        <w:widowControl w:val="0"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</w:rPr>
        <w:t>教授为本科生授课是学校教育教学的基本制度，教授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lang w:val="en-US" w:eastAsia="zh-CN"/>
        </w:rPr>
        <w:t>须将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</w:rPr>
        <w:t>人才培养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lang w:val="en-US" w:eastAsia="zh-CN"/>
        </w:rPr>
        <w:t>及为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</w:rPr>
        <w:t>本科生授课作为工作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lang w:val="en-US" w:eastAsia="zh-CN"/>
        </w:rPr>
        <w:t>首要任务，必须亲自上讲台为本科生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highlight w:val="none"/>
          <w:lang w:val="en-US" w:eastAsia="zh-CN"/>
        </w:rPr>
        <w:t>授课，严禁委托其他老师代上。</w:t>
      </w:r>
    </w:p>
    <w:p w14:paraId="4911364E">
      <w:pPr>
        <w:pStyle w:val="2"/>
        <w:keepNext w:val="0"/>
        <w:keepLines w:val="0"/>
        <w:pageBreakBefore w:val="0"/>
        <w:widowControl w:val="0"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highlight w:val="none"/>
        </w:rPr>
        <w:t>教授应切实履行为本科生授课的基本职责，每学年须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highlight w:val="none"/>
          <w:lang w:val="en-US" w:eastAsia="zh-CN"/>
        </w:rPr>
        <w:t>至少独立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highlight w:val="none"/>
        </w:rPr>
        <w:t>承担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highlight w:val="none"/>
          <w:lang w:val="en-US" w:eastAsia="zh-CN"/>
        </w:rPr>
        <w:t>全日制本科生课程不少于</w:t>
      </w:r>
      <w:r>
        <w:rPr>
          <w:rFonts w:hint="eastAsia" w:ascii="Times New Roman" w:hAnsi="Times New Roman" w:eastAsia="仿宋_GB2312" w:cs="仿宋_GB2312"/>
          <w:i w:val="0"/>
          <w:iCs w:val="0"/>
          <w:caps w:val="0"/>
          <w:color w:val="auto"/>
          <w:spacing w:val="0"/>
          <w:sz w:val="32"/>
          <w:szCs w:val="32"/>
          <w:highlight w:val="none"/>
        </w:rPr>
        <w:t>1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highlight w:val="none"/>
        </w:rPr>
        <w:t>门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highlight w:val="none"/>
          <w:lang w:val="en-US" w:eastAsia="zh-CN"/>
        </w:rPr>
        <w:t>且授课时数不少于</w:t>
      </w:r>
      <w:r>
        <w:rPr>
          <w:rFonts w:hint="eastAsia" w:ascii="Times New Roman" w:hAnsi="Times New Roman" w:eastAsia="仿宋_GB2312" w:cs="仿宋_GB2312"/>
          <w:i w:val="0"/>
          <w:iCs w:val="0"/>
          <w:caps w:val="0"/>
          <w:color w:val="auto"/>
          <w:spacing w:val="0"/>
          <w:sz w:val="32"/>
          <w:szCs w:val="32"/>
          <w:highlight w:val="none"/>
          <w:lang w:val="en-US" w:eastAsia="zh-CN"/>
        </w:rPr>
        <w:t>48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highlight w:val="none"/>
          <w:lang w:val="en-US" w:eastAsia="zh-CN"/>
        </w:rPr>
        <w:t>学时。</w:t>
      </w:r>
    </w:p>
    <w:p w14:paraId="0F9A2945">
      <w:pPr>
        <w:pStyle w:val="2"/>
        <w:keepNext w:val="0"/>
        <w:keepLines w:val="0"/>
        <w:pageBreakBefore w:val="0"/>
        <w:widowControl w:val="0"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</w:rPr>
        <w:t>鼓励教授为本科生讲授新生研讨课程、学科前沿类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lang w:val="en-US" w:eastAsia="zh-CN"/>
        </w:rPr>
        <w:t>课程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</w:rPr>
        <w:t>、讲座类、实践类课程，指导本科生毕业设计（论文）、学科竞赛和创新实践项目、带领本科生开展生产实习和社会实践等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</w:rPr>
        <w:t>上述各类教学任务不能替代课程教学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lang w:eastAsia="zh-CN"/>
        </w:rPr>
        <w:t>。</w:t>
      </w:r>
    </w:p>
    <w:p w14:paraId="0D4753B5">
      <w:pPr>
        <w:pStyle w:val="2"/>
        <w:keepNext w:val="0"/>
        <w:keepLines w:val="0"/>
        <w:pageBreakBefore w:val="0"/>
        <w:widowControl w:val="0"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</w:rPr>
        <w:t>鼓励教授重视课程建设，推进课程思政元素融入教学内容，着力提升课程的“两性一度”，激发学生学习兴趣和动力，提高学生满意度和获得感。</w:t>
      </w:r>
    </w:p>
    <w:p w14:paraId="77A6B3B9">
      <w:pPr>
        <w:pStyle w:val="2"/>
        <w:keepNext w:val="0"/>
        <w:keepLines w:val="0"/>
        <w:pageBreakBefore w:val="0"/>
        <w:widowControl w:val="0"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</w:rPr>
        <w:t>鼓励教授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lang w:val="en-US" w:eastAsia="zh-CN"/>
        </w:rPr>
        <w:t>将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</w:rPr>
        <w:t>最新科研成果融入本科课堂教学，挖掘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lang w:val="en-US" w:eastAsia="zh-CN"/>
        </w:rPr>
        <w:t>并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</w:rPr>
        <w:t>引进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lang w:val="en-US" w:eastAsia="zh-CN"/>
        </w:rPr>
        <w:t>涵盖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</w:rPr>
        <w:t>课程内容、教学方法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</w:rPr>
        <w:t>教材等优质教学资源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</w:rPr>
        <w:t>承担各级本科教育教学改革与建设项目，发表教学研究成果。鼓励教授结合区域产业发展特点，将地方企业实际案例、产业发展前沿融入本科教学，推动教学与地方经济社会发展深度融合。</w:t>
      </w:r>
    </w:p>
    <w:p w14:paraId="28EEDDC4">
      <w:pPr>
        <w:pStyle w:val="2"/>
        <w:keepNext w:val="0"/>
        <w:keepLines w:val="0"/>
        <w:pageBreakBefore w:val="0"/>
        <w:widowControl w:val="0"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</w:rPr>
        <w:t>教授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lang w:val="en-US" w:eastAsia="zh-CN"/>
        </w:rPr>
        <w:t>须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</w:rPr>
        <w:t>不断提升教学能力，积极探索混合式教学、项目式学习、案例式教学等创新教学模式，熟练运用智慧教学平台等信息技术开展教学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lang w:eastAsia="zh-CN"/>
        </w:rPr>
        <w:t>；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</w:rPr>
        <w:t>重视教学团队建设，充分发挥“传帮带”作用，助力新入职教师提升教学水平。</w:t>
      </w:r>
    </w:p>
    <w:p w14:paraId="67A15088">
      <w:pPr>
        <w:pStyle w:val="2"/>
        <w:keepNext w:val="0"/>
        <w:keepLines w:val="0"/>
        <w:pageBreakBefore w:val="0"/>
        <w:widowControl w:val="0"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</w:rPr>
        <w:t>各教学单位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lang w:val="en-US" w:eastAsia="zh-CN"/>
        </w:rPr>
        <w:t>负责人为教授授课工作第一责任人，对本单位教授授课任务安排、课时完成、教学质量负总责。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</w:rPr>
        <w:t>安排教学任务时，应优先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lang w:val="en-US" w:eastAsia="zh-CN"/>
        </w:rPr>
        <w:t>保障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</w:rPr>
        <w:t>教授的本科教学任务。对于承担行政工作的教授，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lang w:val="en-US" w:eastAsia="zh-CN"/>
        </w:rPr>
        <w:t>其行政工作安排应保障本科教学时间，相关教学单位需结合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</w:rPr>
        <w:t>学科背景及专业技术岗位受聘情况，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lang w:val="en-US" w:eastAsia="zh-CN"/>
        </w:rPr>
        <w:t>与学校行政部门统筹协调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</w:rPr>
        <w:t>安排本科教学任务。教授为本科生授课情况作为学校每学年度对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lang w:val="en-US" w:eastAsia="zh-CN"/>
        </w:rPr>
        <w:t>各教学单位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</w:rPr>
        <w:t>本科教育教学工作考核评价的重要依据。</w:t>
      </w:r>
    </w:p>
    <w:p w14:paraId="6F53A680">
      <w:pPr>
        <w:pStyle w:val="2"/>
        <w:keepNext w:val="0"/>
        <w:keepLines w:val="0"/>
        <w:pageBreakBefore w:val="0"/>
        <w:widowControl w:val="0"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</w:rPr>
        <w:t>各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lang w:eastAsia="zh-CN"/>
        </w:rPr>
        <w:t>级各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</w:rPr>
        <w:t>部门要切实做好教学辅助和教授授课服务工作，建立健全多种形式的基层教学组织，广泛开展教育教学研究活动，为教授给本科生授课创造条件，保证教授专心授课。教授授课可根据课程教学需求配备课程助教。</w:t>
      </w:r>
    </w:p>
    <w:p w14:paraId="60FECE26">
      <w:pPr>
        <w:pStyle w:val="2"/>
        <w:keepNext w:val="0"/>
        <w:keepLines w:val="0"/>
        <w:pageBreakBefore w:val="0"/>
        <w:widowControl w:val="0"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lang w:val="en-US" w:eastAsia="zh-CN"/>
        </w:rPr>
        <w:t>确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</w:rPr>
        <w:t>因公派出国、挂职锻炼、进修访学、承担学校重大科研项目等特殊原因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lang w:val="en-US" w:eastAsia="zh-CN"/>
        </w:rPr>
        <w:t>一学年内无法完成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</w:rPr>
        <w:t>授课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lang w:val="en-US" w:eastAsia="zh-CN"/>
        </w:rPr>
        <w:t>学时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</w:rPr>
        <w:t>的，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lang w:val="en-US" w:eastAsia="zh-CN"/>
        </w:rPr>
        <w:t>须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</w:rPr>
        <w:t>由本人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lang w:val="en-US" w:eastAsia="zh-CN"/>
        </w:rPr>
        <w:t>提出书面报告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lang w:val="en-US" w:eastAsia="zh-CN"/>
        </w:rPr>
        <w:t>经所在教学单位初审、分管校领导审批后，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</w:rPr>
        <w:t>报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lang w:val="en-US" w:eastAsia="zh-CN"/>
        </w:rPr>
        <w:t>人事处和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lang w:eastAsia="zh-CN"/>
        </w:rPr>
        <w:t>教务处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</w:rPr>
        <w:t>备案。</w:t>
      </w:r>
    </w:p>
    <w:p w14:paraId="4F6EE6DE">
      <w:pPr>
        <w:pStyle w:val="2"/>
        <w:keepNext w:val="0"/>
        <w:keepLines w:val="0"/>
        <w:pageBreakBefore w:val="0"/>
        <w:widowControl w:val="0"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</w:rPr>
        <w:t>学校将教授在聘任期内是否完成规定的本科课程讲授任务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lang w:val="en-US" w:eastAsia="zh-CN"/>
        </w:rPr>
        <w:t>教学质量评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highlight w:val="none"/>
          <w:lang w:val="en-US" w:eastAsia="zh-CN"/>
        </w:rPr>
        <w:t>价结果及师德表现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highlight w:val="none"/>
        </w:rPr>
        <w:t>，作为岗位考核、职务晋升、评优评先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highlight w:val="none"/>
          <w:lang w:eastAsia="zh-CN"/>
        </w:rPr>
        <w:t>、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highlight w:val="none"/>
          <w:lang w:val="en-US" w:eastAsia="zh-CN"/>
        </w:rPr>
        <w:t>绩效分配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highlight w:val="none"/>
        </w:rPr>
        <w:t>的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highlight w:val="none"/>
          <w:lang w:val="en-US" w:eastAsia="zh-CN"/>
        </w:rPr>
        <w:t>重要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highlight w:val="none"/>
        </w:rPr>
        <w:t>依据。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highlight w:val="none"/>
        </w:rPr>
        <w:t>学校要把给本科生授课情况作为教师评聘教授的基本条件。除经学校批准的特殊情况外，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highlight w:val="none"/>
          <w:lang w:val="en-US" w:eastAsia="zh-CN"/>
        </w:rPr>
        <w:t>教授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highlight w:val="none"/>
        </w:rPr>
        <w:t>当年未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highlight w:val="none"/>
          <w:lang w:val="en-US" w:eastAsia="zh-CN"/>
        </w:rPr>
        <w:t>承担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highlight w:val="none"/>
        </w:rPr>
        <w:t>本科生授课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highlight w:val="none"/>
          <w:lang w:val="en-US" w:eastAsia="zh-CN"/>
        </w:rPr>
        <w:t>任务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highlight w:val="none"/>
        </w:rPr>
        <w:t>的，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highlight w:val="none"/>
          <w:lang w:val="en-US" w:eastAsia="zh-CN"/>
        </w:rPr>
        <w:t>其当年教学业绩评定结果不得定为A等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highlight w:val="none"/>
        </w:rPr>
        <w:t>；无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highlight w:val="none"/>
          <w:lang w:val="en-US" w:eastAsia="zh-CN"/>
        </w:rPr>
        <w:t>正当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highlight w:val="none"/>
        </w:rPr>
        <w:t>理由连续两年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highlight w:val="none"/>
          <w:lang w:val="en-US" w:eastAsia="zh-CN"/>
        </w:rPr>
        <w:t>未承担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highlight w:val="none"/>
        </w:rPr>
        <w:t>本科生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highlight w:val="none"/>
          <w:lang w:val="en-US" w:eastAsia="zh-CN"/>
        </w:rPr>
        <w:t>授课任务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highlight w:val="none"/>
        </w:rPr>
        <w:t>的，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highlight w:val="none"/>
          <w:lang w:val="en-US" w:eastAsia="zh-CN"/>
        </w:rPr>
        <w:t>须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highlight w:val="none"/>
        </w:rPr>
        <w:t>转聘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highlight w:val="none"/>
          <w:lang w:val="en-US" w:eastAsia="zh-CN"/>
        </w:rPr>
        <w:t>至其他系列的教授或者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highlight w:val="none"/>
        </w:rPr>
        <w:t>研究员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highlight w:val="none"/>
          <w:lang w:val="en-US" w:eastAsia="zh-CN"/>
        </w:rPr>
        <w:t>系列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highlight w:val="none"/>
        </w:rPr>
        <w:t>。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highlight w:val="none"/>
        </w:rPr>
        <w:t>各教学单位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highlight w:val="none"/>
          <w:lang w:val="en-US" w:eastAsia="zh-CN"/>
        </w:rPr>
        <w:t>须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highlight w:val="none"/>
        </w:rPr>
        <w:t>于每学年期末向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highlight w:val="none"/>
          <w:lang w:eastAsia="zh-CN"/>
        </w:rPr>
        <w:t>教务处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highlight w:val="none"/>
        </w:rPr>
        <w:t>报送教授授课进度、课时完成情况。</w:t>
      </w:r>
    </w:p>
    <w:p w14:paraId="44267F6E">
      <w:pPr>
        <w:pStyle w:val="2"/>
        <w:keepNext w:val="0"/>
        <w:keepLines w:val="0"/>
        <w:pageBreakBefore w:val="0"/>
        <w:widowControl w:val="0"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</w:rPr>
        <w:t>教务处每年公布教授为本科生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lang w:val="en-US" w:eastAsia="zh-CN"/>
        </w:rPr>
        <w:t>授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</w:rPr>
        <w:t>课情况，并将此纳入各教学单位年度工作目标考核指标体系。</w:t>
      </w:r>
    </w:p>
    <w:p w14:paraId="1167691B">
      <w:pPr>
        <w:pStyle w:val="2"/>
        <w:keepNext w:val="0"/>
        <w:keepLines w:val="0"/>
        <w:pageBreakBefore w:val="0"/>
        <w:widowControl w:val="0"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lang w:val="en-US" w:eastAsia="zh-CN"/>
        </w:rPr>
        <w:t>本规定未尽事宜，按照教育部、浙江省教育厅最新政策执行。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</w:rPr>
        <w:t>本规定自发布之日起执行，由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lang w:eastAsia="zh-CN"/>
        </w:rPr>
        <w:t>教务处、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lang w:val="en-US" w:eastAsia="zh-CN"/>
        </w:rPr>
        <w:t>人事处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</w:rPr>
        <w:t>负责解释。</w:t>
      </w:r>
    </w:p>
    <w:sectPr>
      <w:pgSz w:w="11906" w:h="16838"/>
      <w:pgMar w:top="1417" w:right="1417" w:bottom="141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大标宋_GBK">
    <w:panose1 w:val="02000000000000000000"/>
    <w:charset w:val="86"/>
    <w:family w:val="auto"/>
    <w:pitch w:val="default"/>
    <w:sig w:usb0="A00002BF" w:usb1="08CF7CFA" w:usb2="00000000" w:usb3="00000000" w:csb0="00040001" w:csb1="00000000"/>
    <w:embedRegular r:id="rId1" w:fontKey="{2B6E8236-ADB7-44D1-9B70-49ED5D2B5EF6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2" w:fontKey="{40DD895A-1573-4CF4-8E85-4C7B4424F63B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3" w:fontKey="{DBAAE525-909F-416F-AEA4-5E87BCD97B1F}"/>
  </w:font>
  <w:font w:name="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Ti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楷体_GBK">
    <w:panose1 w:val="02000000000000000000"/>
    <w:charset w:val="86"/>
    <w:family w:val="auto"/>
    <w:pitch w:val="default"/>
    <w:sig w:usb0="800002BF" w:usb1="38CF7CFA" w:usb2="00000016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B07E272"/>
    <w:multiLevelType w:val="singleLevel"/>
    <w:tmpl w:val="1B07E272"/>
    <w:lvl w:ilvl="0" w:tentative="0">
      <w:start w:val="1"/>
      <w:numFmt w:val="chineseCounting"/>
      <w:suff w:val="space"/>
      <w:lvlText w:val="第%1条"/>
      <w:lvlJc w:val="left"/>
      <w:rPr>
        <w:rFonts w:hint="eastAsia" w:ascii="方正楷体_GBK" w:hAnsi="方正楷体_GBK" w:eastAsia="方正楷体_GBK" w:cs="方正楷体_GBK"/>
        <w:b/>
        <w:bCs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0"/>
  <w:bordersDoNotSurroundFooter w:val="0"/>
  <w:revisionView w:markup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2230F3C"/>
    <w:rsid w:val="00FE0429"/>
    <w:rsid w:val="05473DCB"/>
    <w:rsid w:val="10433883"/>
    <w:rsid w:val="121E624F"/>
    <w:rsid w:val="1596355D"/>
    <w:rsid w:val="1AA41354"/>
    <w:rsid w:val="1D734627"/>
    <w:rsid w:val="1DD737EE"/>
    <w:rsid w:val="20007B3D"/>
    <w:rsid w:val="212360D0"/>
    <w:rsid w:val="226A23B4"/>
    <w:rsid w:val="23C370D2"/>
    <w:rsid w:val="2A494963"/>
    <w:rsid w:val="37FA03AE"/>
    <w:rsid w:val="4077259B"/>
    <w:rsid w:val="42230F3C"/>
    <w:rsid w:val="489363E0"/>
    <w:rsid w:val="48DD4A5C"/>
    <w:rsid w:val="59E616FD"/>
    <w:rsid w:val="652258CA"/>
    <w:rsid w:val="67087B42"/>
    <w:rsid w:val="69BA3375"/>
    <w:rsid w:val="6EE540D2"/>
    <w:rsid w:val="775B07B4"/>
    <w:rsid w:val="7A380405"/>
    <w:rsid w:val="7E492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b1a14173-5953-48ff-aef7-b64c44a4eedb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 F9A2945</paraID>
      <start>78</start>
      <end>79</end>
      <status>modified</status>
      <modifiedWord>，</modifiedWord>
      <trackRevisions>false</trackRevisions>
    </reviewItem>
    <reviewItem>
      <errorID>54436510-ff27-4f14-8604-507bc5b9cdc8</errorID>
      <errorWord>总则</errorWord>
      <group>L1_Word</group>
      <groupName>字词问题</groupName>
      <ability>L2_Typo</ability>
      <abilityName>字词错误</abilityName>
      <candidateList>
        <item>总责</item>
      </candidateList>
      <explain/>
      <paraID>67A15088</paraID>
      <start>44</start>
      <end>46</end>
      <status>modified</status>
      <modifiedWord>总责</modifiedWord>
      <trackRevisions>false</trackRevisions>
    </reviewItem>
    <reviewItem>
      <errorID>59166a3e-f901-4788-94dd-7d2ab51b3abd</errorID>
      <errorWord>级</errorWord>
      <group>L1_Word</group>
      <groupName>字词问题</groupName>
      <ability>L2_Typo</ability>
      <abilityName>字词错误</abilityName>
      <candidateList>
        <item>级各</item>
      </candidateList>
      <explain/>
      <paraID>6F53A680</paraID>
      <start>1</start>
      <end>3</end>
      <status>modified</status>
      <modifiedWord>级各</modifiedWord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7259369b-60b7-4fd1-9872-845f1855f7c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2217</Words>
  <Characters>2229</Characters>
  <Lines>0</Lines>
  <Paragraphs>0</Paragraphs>
  <TotalTime>1</TotalTime>
  <ScaleCrop>false</ScaleCrop>
  <LinksUpToDate>false</LinksUpToDate>
  <CharactersWithSpaces>2263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2025-07-20T04:50:00Z</dcterms:created>
  <dc:creator>甦</dc:creator>
  <cp:lastModifiedBy>甦</cp:lastModifiedBy>
  <cp:lastPrinted>2026-04-02T01:54:00Z</cp:lastPrinted>
  <dcterms:modified xsi:type="dcterms:W3CDTF">2026-04-03T08:03:43Z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83B3E08479D14918AEC7061614DE0FA3_11</vt:lpwstr>
  </property>
  <property fmtid="{D5CDD505-2E9C-101B-9397-08002B2CF9AE}" pid="4" name="KSOTemplateDocerSaveRecord">
    <vt:lpwstr>eyJoZGlkIjoiMjI5NTYyMDk2NjExOTIyODA2YzU3NDZjMDFhN2FhZjEiLCJ1c2VySWQiOiI2OTEzMDU3NjYifQ==</vt:lpwstr>
  </property>
</Properties>
</file>