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A06D5">
      <w:pPr>
        <w:spacing w:before="159" w:beforeLines="50" w:line="360" w:lineRule="auto"/>
        <w:ind w:firstLine="562" w:firstLineChars="200"/>
        <w:jc w:val="center"/>
        <w:rPr>
          <w:rFonts w:hint="default" w:ascii="宋体" w:hAnsi="宋体" w:eastAsia="宋体" w:cs="宋体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工程教育认证的通用标准</w:t>
      </w:r>
    </w:p>
    <w:tbl>
      <w:tblPr>
        <w:tblStyle w:val="2"/>
        <w:tblW w:w="8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7141"/>
      </w:tblGrid>
      <w:tr w14:paraId="1B18D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522" w:type="dxa"/>
            <w:gridSpan w:val="2"/>
            <w:tcBorders>
              <w:top w:val="single" w:color="auto" w:sz="12" w:space="0"/>
            </w:tcBorders>
            <w:vAlign w:val="center"/>
          </w:tcPr>
          <w:p w14:paraId="4C510827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  <w:r>
              <w:rPr>
                <w:rFonts w:hint="eastAsia" w:ascii="Times New Roman" w:hAnsi="Times New Roman" w:eastAsia="黑体" w:cs="黑体"/>
                <w:sz w:val="21"/>
              </w:rPr>
              <w:t>工程知识。能够将数学、自然科学、计算、工程基础和专业知识用于解决复杂工程问题。</w:t>
            </w:r>
          </w:p>
        </w:tc>
      </w:tr>
      <w:tr w14:paraId="37C0F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45433B4F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95E3A5E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 xml:space="preserve">1.1 </w:t>
            </w:r>
          </w:p>
        </w:tc>
      </w:tr>
      <w:tr w14:paraId="5D1D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09224CB5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5EC1446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5D874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7B55103C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毕业要求2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  <w:r>
              <w:rPr>
                <w:rFonts w:hint="eastAsia" w:ascii="Times New Roman" w:hAnsi="Times New Roman" w:eastAsia="黑体" w:cs="黑体"/>
                <w:sz w:val="21"/>
              </w:rPr>
              <w:t>问题分析。能够应用数学、自然科学和工程科学的基本原理，识别、表达并通过文献研究分析复杂工程问题，综合考虑可持续发展的要求，以获得有效结论。</w:t>
            </w:r>
          </w:p>
        </w:tc>
      </w:tr>
      <w:tr w14:paraId="52406F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81" w:type="dxa"/>
            <w:vMerge w:val="restart"/>
            <w:vAlign w:val="center"/>
          </w:tcPr>
          <w:p w14:paraId="59792673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6D3C98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2.1</w:t>
            </w:r>
          </w:p>
        </w:tc>
      </w:tr>
      <w:tr w14:paraId="2112D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F44CFB8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479B3701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60C3E8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430462B6">
            <w:pPr>
              <w:jc w:val="both"/>
              <w:rPr>
                <w:rFonts w:hint="eastAsia" w:ascii="Times New Roman" w:hAnsi="Times New Roman" w:eastAsia="黑体" w:cs="黑体"/>
                <w:sz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【毕业要求3】设计/开发解决方案。能够针对复杂工程问题设计和开发解决方案，设计满足特定需求的系统、单元（部件）或工艺流程，体现创新性，并从健康、安全与环境、全生命</w:t>
            </w:r>
          </w:p>
          <w:p w14:paraId="3E9B3141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周期成本与净零碳要求、法律与伦理、社会与文化等角度考虑可行性。</w:t>
            </w:r>
          </w:p>
        </w:tc>
      </w:tr>
      <w:tr w14:paraId="6FF20C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5544760B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6F575A6C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3.1</w:t>
            </w:r>
          </w:p>
        </w:tc>
      </w:tr>
      <w:tr w14:paraId="5EC0A9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7AB8A432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45E21CAC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7DD43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39D40E18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【毕业要求4】研究。能够基于科学原理并采用科学方法对复杂工程问题进行研究，包括设计实验、分析与解释数据、并通过信息综合得到合理有效的结论。</w:t>
            </w:r>
          </w:p>
        </w:tc>
      </w:tr>
      <w:tr w14:paraId="13003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391DD411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47856BE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4.1</w:t>
            </w:r>
          </w:p>
        </w:tc>
      </w:tr>
      <w:tr w14:paraId="7CA29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E50B8D6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F8EACB8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19DE5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DD3FC21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5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】使用现代工具。能够针对复杂工程问题，开发、选择与使用恰当的技术、资源、现代工程工具和信息技术工具，包括对复杂工程问题的预测与模拟，并能够理解其局限性。</w:t>
            </w:r>
          </w:p>
        </w:tc>
      </w:tr>
      <w:tr w14:paraId="2706D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24CF77B8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8EC8741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5.1</w:t>
            </w:r>
          </w:p>
        </w:tc>
      </w:tr>
      <w:tr w14:paraId="03D5A6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77D7A37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225124FE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878C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6791F99E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6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】工程与可持续发展。在解决复杂工程问题时，能够基于工程相关背景知识，分析和评价工程实践对健康、安全、环境、法律以及经济和社会可持续发展的影响，并理解应承担的责任。</w:t>
            </w:r>
          </w:p>
        </w:tc>
      </w:tr>
      <w:tr w14:paraId="32ADA6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2D68C479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B8E778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6.1</w:t>
            </w:r>
          </w:p>
        </w:tc>
      </w:tr>
      <w:tr w14:paraId="2D8B7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7C7A359E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6D30B9AA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2B72B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37FB81A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7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】工程伦理和职业规范。有工程报国、为民造福的意识，具有人文社会科学素养和社会责任感，能够理解和践行工程伦理，在工程实践中遵守工程职业道德、规范和相关法律，履行责任。</w:t>
            </w:r>
          </w:p>
        </w:tc>
      </w:tr>
      <w:tr w14:paraId="55924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3EAC5BC4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2B92B9E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7.1</w:t>
            </w:r>
          </w:p>
        </w:tc>
      </w:tr>
      <w:tr w14:paraId="315E1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53E41EE0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11E42491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069993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DFD9ED2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8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】个人与团队。能够在多样化、多学科背景下的团队中承担个体、团队成员以及负责人的角色。</w:t>
            </w:r>
          </w:p>
        </w:tc>
      </w:tr>
      <w:tr w14:paraId="2CA60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76FBBBB6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0D3A8E15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8.1</w:t>
            </w:r>
          </w:p>
        </w:tc>
      </w:tr>
      <w:tr w14:paraId="7BA918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9F8CC4D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197C3FBD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61317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469195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9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  <w:r>
              <w:rPr>
                <w:rFonts w:hint="eastAsia" w:ascii="Times New Roman" w:hAnsi="Times New Roman" w:eastAsia="黑体" w:cs="黑体"/>
                <w:sz w:val="21"/>
                <w:lang w:val="en-US" w:eastAsia="zh-CN"/>
              </w:rPr>
              <w:t>沟通。能够就复杂工程问题与业界同行及社会公 众进行有效沟通和交流，包括撰写报告和设计文稿、陈述发言、清晰表达或回应指令；能够在跨文化背景下进行沟通和 交流，理解、尊重语言和文化差异。</w:t>
            </w:r>
          </w:p>
        </w:tc>
      </w:tr>
      <w:tr w14:paraId="471DBA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2FAD853F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D2541AE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9.1</w:t>
            </w:r>
          </w:p>
        </w:tc>
      </w:tr>
      <w:tr w14:paraId="5A5C0B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5882A5CD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41380887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0886EF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027649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10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】项目管理。理解并掌握与工程项目相关的管理原理与经济决策方法，并能够在多学科环境中应用。</w:t>
            </w:r>
          </w:p>
        </w:tc>
      </w:tr>
      <w:tr w14:paraId="31869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0B3358A5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952D114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10.1</w:t>
            </w:r>
          </w:p>
        </w:tc>
      </w:tr>
      <w:tr w14:paraId="0866E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15CB7489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2AC5F46D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0ABDF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3F12285B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11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】终身学习。具有自主学习、终身学习和批判性思维的意识和能力，能够理解广泛的技术变革对工程和社会的影响，适应新技术变革。</w:t>
            </w:r>
          </w:p>
        </w:tc>
      </w:tr>
      <w:tr w14:paraId="5A223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52C07086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3B90039A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11.1</w:t>
            </w:r>
          </w:p>
        </w:tc>
      </w:tr>
      <w:tr w14:paraId="7AC3E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76A0EFE2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0EE4FA93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</w:tbl>
    <w:p w14:paraId="4EBE8E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0711C"/>
    <w:rsid w:val="6E90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2026-05-09T02:41:00Z</dcterms:created>
  <dc:creator>飞燕</dc:creator>
  <cp:lastModifiedBy>飞燕</cp:lastModifiedBy>
  <dcterms:modified xsi:type="dcterms:W3CDTF">2026-05-09T02:42:39Z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73AF9E298312408FA68581195D203C40_11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