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F6FF">
      <w:pPr>
        <w:snapToGrid w:val="0"/>
        <w:spacing w:line="360" w:lineRule="exact"/>
        <w:jc w:val="center"/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  <w:t>温州理工学院《</w:t>
      </w:r>
      <w:r>
        <w:rPr>
          <w:rFonts w:hint="eastAsia" w:cs="仿宋" w:asciiTheme="minorEastAsia" w:hAnsiTheme="minorEastAsia" w:eastAsiaTheme="minorEastAsia"/>
          <w:b/>
          <w:bCs/>
          <w:color w:val="FF0000"/>
          <w:sz w:val="30"/>
          <w:szCs w:val="30"/>
        </w:rPr>
        <w:t>课程名称</w:t>
      </w:r>
      <w:r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  <w:t>》课程教学大纲</w:t>
      </w:r>
    </w:p>
    <w:p w14:paraId="363B2356">
      <w:pPr>
        <w:snapToGrid w:val="0"/>
        <w:spacing w:line="360" w:lineRule="exact"/>
        <w:jc w:val="center"/>
        <w:rPr>
          <w:rFonts w:hint="eastAsia" w:cs="仿宋" w:asciiTheme="minorEastAsia" w:hAnsiTheme="minorEastAsia" w:eastAsiaTheme="minorEastAsia"/>
          <w:b/>
          <w:bCs/>
          <w:sz w:val="30"/>
          <w:szCs w:val="30"/>
        </w:rPr>
      </w:pPr>
    </w:p>
    <w:p w14:paraId="6C9EEF96">
      <w:pPr>
        <w:snapToGrid w:val="0"/>
        <w:spacing w:line="360" w:lineRule="exact"/>
        <w:jc w:val="center"/>
        <w:rPr>
          <w:rFonts w:hint="default" w:cs="仿宋" w:asciiTheme="minorEastAsia" w:hAnsiTheme="minorEastAsia" w:eastAsiaTheme="minorEastAsia"/>
          <w:b/>
          <w:szCs w:val="21"/>
          <w:lang w:val="en-US" w:eastAsia="zh-CN"/>
        </w:rPr>
      </w:pPr>
      <w:r>
        <w:rPr>
          <w:rFonts w:hint="eastAsia" w:cs="仿宋" w:asciiTheme="minorEastAsia" w:hAnsiTheme="minorEastAsia" w:eastAsiaTheme="minorEastAsia"/>
          <w:b/>
          <w:color w:val="FF0000"/>
          <w:szCs w:val="21"/>
        </w:rPr>
        <w:t>--适用于通识选修课程</w:t>
      </w:r>
    </w:p>
    <w:p w14:paraId="4C31C89F">
      <w:pPr>
        <w:snapToGrid w:val="0"/>
        <w:spacing w:line="360" w:lineRule="exact"/>
        <w:ind w:firstLine="310" w:firstLineChars="147"/>
        <w:jc w:val="center"/>
        <w:rPr>
          <w:rFonts w:cs="仿宋" w:asciiTheme="minorEastAsia" w:hAnsiTheme="minorEastAsia" w:eastAsiaTheme="minorEastAsia"/>
          <w:b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FF0000"/>
          <w:szCs w:val="21"/>
        </w:rPr>
        <w:t>（红色字体部分为编写建议或模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color w:val="FF0000"/>
          <w:szCs w:val="21"/>
        </w:rPr>
        <w:t>拟填写，撰写完成后请予以删除）</w:t>
      </w:r>
    </w:p>
    <w:p w14:paraId="5C40A540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bCs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一、课程基本信息</w:t>
      </w:r>
    </w:p>
    <w:p w14:paraId="3C928292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1.课程代码：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（教务管理系统里对应的课程代码）</w:t>
      </w:r>
    </w:p>
    <w:p w14:paraId="404E82F4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2.课程名称：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（中文/英文）</w:t>
      </w:r>
    </w:p>
    <w:p w14:paraId="25E38661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3.课程类别：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通识选修课</w:t>
      </w:r>
    </w:p>
    <w:p w14:paraId="49D12F32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4.学分/总学时：</w:t>
      </w:r>
      <w:r>
        <w:rPr>
          <w:rFonts w:hint="eastAsia" w:cs="仿宋" w:asciiTheme="minorEastAsia" w:hAnsiTheme="minorEastAsia" w:eastAsiaTheme="minorEastAsia"/>
          <w:szCs w:val="21"/>
          <w:lang w:val="en-US" w:eastAsia="zh-CN"/>
        </w:rPr>
        <w:t xml:space="preserve">      </w:t>
      </w:r>
      <w:r>
        <w:rPr>
          <w:rFonts w:hint="eastAsia" w:cs="仿宋" w:asciiTheme="minorEastAsia" w:hAnsiTheme="minorEastAsia" w:eastAsiaTheme="minorEastAsia"/>
          <w:szCs w:val="21"/>
        </w:rPr>
        <w:t xml:space="preserve"> ,其中理论教学（学分/学时）：</w:t>
      </w:r>
      <w:r>
        <w:rPr>
          <w:rFonts w:hint="eastAsia" w:cs="仿宋" w:asciiTheme="minorEastAsia" w:hAnsiTheme="minorEastAsia" w:eastAsiaTheme="minorEastAsia"/>
          <w:szCs w:val="21"/>
          <w:lang w:val="en-US" w:eastAsia="zh-CN"/>
        </w:rPr>
        <w:t xml:space="preserve">        </w:t>
      </w:r>
      <w:r>
        <w:rPr>
          <w:rFonts w:hint="eastAsia" w:cs="仿宋" w:asciiTheme="minorEastAsia" w:hAnsiTheme="minorEastAsia" w:eastAsiaTheme="minorEastAsia"/>
          <w:szCs w:val="21"/>
        </w:rPr>
        <w:t xml:space="preserve">  </w:t>
      </w:r>
    </w:p>
    <w:p w14:paraId="7CA11E65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5.面向对象：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（XX专业、各专业、除XX专业以外的各专业）</w:t>
      </w:r>
    </w:p>
    <w:p w14:paraId="5F423D83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（正文：宋体、五号、固定值18磅行距）</w:t>
      </w:r>
    </w:p>
    <w:p w14:paraId="53B11D5B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二、课程简介</w:t>
      </w:r>
    </w:p>
    <w:p w14:paraId="70BD651A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编写建议：描述本课程在该专业人才培养中的地位、作用和学生的学习任务，学生在知识、能力、素质等方面需要学习和掌握的内容。（正文：宋体、五号、固定值18磅行距，限100-150字）</w:t>
      </w:r>
    </w:p>
    <w:p w14:paraId="628EB14D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三、课程教学目标和能力要求</w:t>
      </w:r>
    </w:p>
    <w:p w14:paraId="4285BD6B">
      <w:pPr>
        <w:widowControl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说明本课程应达到的主要教学目标，可从知识、能力和素质（含思政）三方面阐述，要求至少3项具体的课程目标（建议3-5项）。教学目标要体现高阶性，要有分析、综合、评价之类的高阶目标，不能只是了解、掌握、认识这类低阶目标。课程目标必须是具体的、可衡量、可评价的。（正文：宋体、五号、固定值18磅行距）</w:t>
      </w:r>
    </w:p>
    <w:p w14:paraId="24F64D00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根据课程特点和对毕业要求的贡献度，设定课程目标为： </w:t>
      </w:r>
    </w:p>
    <w:p w14:paraId="1A94E7DF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CO1：</w:t>
      </w:r>
    </w:p>
    <w:p w14:paraId="381BC038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CO2：</w:t>
      </w:r>
    </w:p>
    <w:p w14:paraId="309AC36A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……</w:t>
      </w:r>
    </w:p>
    <w:p w14:paraId="3B23A2D8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COj：</w:t>
      </w:r>
    </w:p>
    <w:p w14:paraId="5F3FA6E1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四、课程教学方法和课堂形式</w:t>
      </w:r>
    </w:p>
    <w:p w14:paraId="68D7E58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为了支撑课程目标的达成，课程教学要结合课程特点，以学生为中心的教学理念，充分体现参与式教学设计，明确课程教学方法和课堂形式。课程教学方法包括教师讲授、师生研讨、网络教学、分组讨论、实践教学等多种方法；课堂形式包括线下、线上、线上线下混合、翻转课堂、虚拟仿真、案例讨论、实验实训等形式。（正文：宋体、五号、固定值18磅行距）</w:t>
      </w:r>
    </w:p>
    <w:p w14:paraId="3858C330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五、课程内容及教学安排</w:t>
      </w:r>
    </w:p>
    <w:p w14:paraId="08CB0999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编写建议：课程内容须支撑课程目标，课程思政要落实到课程教学环节。从课程知识单元、教学内容（知识点）、教学目标、对应课程目标、学时分配等方面撰写。（正文：宋体、五号、固定值18磅行距）</w:t>
      </w:r>
    </w:p>
    <w:p w14:paraId="30D0E778">
      <w:pPr>
        <w:adjustRightInd w:val="0"/>
        <w:spacing w:line="360" w:lineRule="exact"/>
        <w:jc w:val="center"/>
        <w:rPr>
          <w:rFonts w:cs="仿宋" w:asciiTheme="minorEastAsia" w:hAnsiTheme="minorEastAsia" w:eastAsiaTheme="minorEastAsia"/>
          <w:b/>
          <w:color w:val="00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000000"/>
          <w:szCs w:val="21"/>
        </w:rPr>
        <w:t>表5-1 课程知识单元、教学内容（知识点）、课程目标及学时分配对应关系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597"/>
        <w:gridCol w:w="2627"/>
        <w:gridCol w:w="1155"/>
        <w:gridCol w:w="998"/>
      </w:tblGrid>
      <w:tr w14:paraId="68CB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Align w:val="center"/>
          </w:tcPr>
          <w:p w14:paraId="3A7E9B15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知识</w:t>
            </w:r>
          </w:p>
          <w:p w14:paraId="4482AEBE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单元</w:t>
            </w:r>
          </w:p>
        </w:tc>
        <w:tc>
          <w:tcPr>
            <w:tcW w:w="1879" w:type="pct"/>
            <w:vAlign w:val="center"/>
          </w:tcPr>
          <w:p w14:paraId="2C4ADD75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教学内容（知识点）</w:t>
            </w:r>
          </w:p>
        </w:tc>
        <w:tc>
          <w:tcPr>
            <w:tcW w:w="1372" w:type="pct"/>
            <w:vAlign w:val="center"/>
          </w:tcPr>
          <w:p w14:paraId="615851D1">
            <w:pPr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教学目标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含思政目标</w:t>
            </w: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603" w:type="pct"/>
            <w:vAlign w:val="center"/>
          </w:tcPr>
          <w:p w14:paraId="567CF82C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对应课程目标</w:t>
            </w:r>
          </w:p>
        </w:tc>
        <w:tc>
          <w:tcPr>
            <w:tcW w:w="521" w:type="pct"/>
            <w:vAlign w:val="center"/>
          </w:tcPr>
          <w:p w14:paraId="408A747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学时</w:t>
            </w:r>
          </w:p>
          <w:p w14:paraId="2E8FE260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分配</w:t>
            </w:r>
          </w:p>
        </w:tc>
      </w:tr>
      <w:tr w14:paraId="1821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restart"/>
            <w:vAlign w:val="center"/>
          </w:tcPr>
          <w:p w14:paraId="612E3948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第一章</w:t>
            </w:r>
          </w:p>
        </w:tc>
        <w:tc>
          <w:tcPr>
            <w:tcW w:w="1879" w:type="pct"/>
          </w:tcPr>
          <w:p w14:paraId="0969CA5E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restart"/>
          </w:tcPr>
          <w:p w14:paraId="34464F9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restart"/>
            <w:vAlign w:val="center"/>
          </w:tcPr>
          <w:p w14:paraId="2AAEDC5B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Cs w:val="21"/>
              </w:rPr>
              <w:t>CO1</w:t>
            </w:r>
          </w:p>
        </w:tc>
        <w:tc>
          <w:tcPr>
            <w:tcW w:w="521" w:type="pct"/>
            <w:vMerge w:val="restart"/>
          </w:tcPr>
          <w:p w14:paraId="427825C2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0768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continue"/>
            <w:vAlign w:val="center"/>
          </w:tcPr>
          <w:p w14:paraId="253F987B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879" w:type="pct"/>
          </w:tcPr>
          <w:p w14:paraId="2D0A688B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continue"/>
          </w:tcPr>
          <w:p w14:paraId="0D68DB56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continue"/>
          </w:tcPr>
          <w:p w14:paraId="516F3ED6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521" w:type="pct"/>
            <w:vMerge w:val="continue"/>
          </w:tcPr>
          <w:p w14:paraId="3058B197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164E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2" w:type="pct"/>
            <w:vMerge w:val="continue"/>
            <w:vAlign w:val="center"/>
          </w:tcPr>
          <w:p w14:paraId="667900CF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879" w:type="pct"/>
          </w:tcPr>
          <w:p w14:paraId="74FAECCD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continue"/>
          </w:tcPr>
          <w:p w14:paraId="264E437E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continue"/>
          </w:tcPr>
          <w:p w14:paraId="44E6D0C5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521" w:type="pct"/>
            <w:vMerge w:val="continue"/>
          </w:tcPr>
          <w:p w14:paraId="1C4F6371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2787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restart"/>
            <w:vAlign w:val="center"/>
          </w:tcPr>
          <w:p w14:paraId="449E3DB8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第二章</w:t>
            </w:r>
          </w:p>
        </w:tc>
        <w:tc>
          <w:tcPr>
            <w:tcW w:w="1879" w:type="pct"/>
          </w:tcPr>
          <w:p w14:paraId="00EE7FB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restart"/>
          </w:tcPr>
          <w:p w14:paraId="050A944F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restart"/>
            <w:vAlign w:val="center"/>
          </w:tcPr>
          <w:p w14:paraId="5955CA0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Cs w:val="21"/>
              </w:rPr>
              <w:t>CO2</w:t>
            </w:r>
          </w:p>
        </w:tc>
        <w:tc>
          <w:tcPr>
            <w:tcW w:w="521" w:type="pct"/>
            <w:vMerge w:val="restart"/>
          </w:tcPr>
          <w:p w14:paraId="0726587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1925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continue"/>
            <w:vAlign w:val="center"/>
          </w:tcPr>
          <w:p w14:paraId="760F8AC0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879" w:type="pct"/>
          </w:tcPr>
          <w:p w14:paraId="051FAF08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continue"/>
          </w:tcPr>
          <w:p w14:paraId="0A4B307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continue"/>
          </w:tcPr>
          <w:p w14:paraId="75A97E4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521" w:type="pct"/>
            <w:vMerge w:val="continue"/>
          </w:tcPr>
          <w:p w14:paraId="6E49DB4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7A8F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continue"/>
            <w:vAlign w:val="center"/>
          </w:tcPr>
          <w:p w14:paraId="7D09F21A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879" w:type="pct"/>
          </w:tcPr>
          <w:p w14:paraId="37B7092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continue"/>
          </w:tcPr>
          <w:p w14:paraId="03B493B8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continue"/>
          </w:tcPr>
          <w:p w14:paraId="35CD34BD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521" w:type="pct"/>
            <w:vMerge w:val="continue"/>
          </w:tcPr>
          <w:p w14:paraId="216A985F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5CCE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restart"/>
            <w:vAlign w:val="center"/>
          </w:tcPr>
          <w:p w14:paraId="18F6529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第三章</w:t>
            </w:r>
          </w:p>
        </w:tc>
        <w:tc>
          <w:tcPr>
            <w:tcW w:w="1879" w:type="pct"/>
          </w:tcPr>
          <w:p w14:paraId="06A5FDA1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restart"/>
          </w:tcPr>
          <w:p w14:paraId="376F9063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603" w:type="pct"/>
            <w:vMerge w:val="restart"/>
            <w:vAlign w:val="center"/>
          </w:tcPr>
          <w:p w14:paraId="115432F9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FF0000"/>
                <w:szCs w:val="21"/>
              </w:rPr>
              <w:t>CO3</w:t>
            </w:r>
          </w:p>
        </w:tc>
        <w:tc>
          <w:tcPr>
            <w:tcW w:w="521" w:type="pct"/>
            <w:vMerge w:val="restart"/>
          </w:tcPr>
          <w:p w14:paraId="023393D3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</w:tr>
      <w:tr w14:paraId="26EC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continue"/>
          </w:tcPr>
          <w:p w14:paraId="160DAB19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1879" w:type="pct"/>
          </w:tcPr>
          <w:p w14:paraId="66540C4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continue"/>
          </w:tcPr>
          <w:p w14:paraId="52D47804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603" w:type="pct"/>
            <w:vMerge w:val="continue"/>
          </w:tcPr>
          <w:p w14:paraId="2499DB9B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521" w:type="pct"/>
            <w:vMerge w:val="continue"/>
          </w:tcPr>
          <w:p w14:paraId="59B13B03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</w:tr>
      <w:tr w14:paraId="6CF3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  <w:vMerge w:val="continue"/>
          </w:tcPr>
          <w:p w14:paraId="576B607C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1879" w:type="pct"/>
          </w:tcPr>
          <w:p w14:paraId="4E40EFF1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</w:p>
        </w:tc>
        <w:tc>
          <w:tcPr>
            <w:tcW w:w="1372" w:type="pct"/>
            <w:vMerge w:val="continue"/>
          </w:tcPr>
          <w:p w14:paraId="3B822290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603" w:type="pct"/>
            <w:vMerge w:val="continue"/>
          </w:tcPr>
          <w:p w14:paraId="073C5F4B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  <w:tc>
          <w:tcPr>
            <w:tcW w:w="521" w:type="pct"/>
            <w:vMerge w:val="continue"/>
          </w:tcPr>
          <w:p w14:paraId="5F5A32F8"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  <w:highlight w:val="yellow"/>
              </w:rPr>
            </w:pPr>
          </w:p>
        </w:tc>
      </w:tr>
    </w:tbl>
    <w:p w14:paraId="3E570AD7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思政融合点1：第*章</w:t>
      </w:r>
    </w:p>
    <w:p w14:paraId="5C1EF042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思政融合点2：第*章</w:t>
      </w:r>
    </w:p>
    <w:p w14:paraId="7260B381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……</w:t>
      </w:r>
    </w:p>
    <w:p w14:paraId="3B736649">
      <w:pPr>
        <w:spacing w:line="360" w:lineRule="exact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思政融合点j：第*章</w:t>
      </w:r>
    </w:p>
    <w:p w14:paraId="4C414C39">
      <w:pPr>
        <w:spacing w:line="360" w:lineRule="exact"/>
        <w:rPr>
          <w:rFonts w:cs="仿宋" w:asciiTheme="minorEastAsia" w:hAnsiTheme="minorEastAsia" w:eastAsiaTheme="minorEastAsia"/>
          <w:b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注：教学目标须通过“能够”“了解”“理解”等词汇来描述。</w:t>
      </w:r>
    </w:p>
    <w:p w14:paraId="3CB30AD2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六、课程考核评价</w:t>
      </w:r>
    </w:p>
    <w:p w14:paraId="6380D424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1.总评计分制：</w:t>
      </w:r>
      <w:r>
        <w:rPr>
          <w:rFonts w:hint="eastAsia" w:cs="仿宋" w:asciiTheme="minorEastAsia" w:hAnsiTheme="minorEastAsia" w:eastAsiaTheme="minorEastAsia"/>
          <w:szCs w:val="21"/>
        </w:rPr>
        <w:t>百分制</w:t>
      </w:r>
    </w:p>
    <w:p w14:paraId="77BEFE42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2.考核方式：</w:t>
      </w:r>
      <w:r>
        <w:rPr>
          <w:rFonts w:hint="eastAsia" w:cs="仿宋" w:asciiTheme="minorEastAsia" w:hAnsiTheme="minorEastAsia" w:eastAsiaTheme="minorEastAsia"/>
          <w:color w:val="FF0000"/>
          <w:szCs w:val="21"/>
        </w:rPr>
        <w:t>考试（开卷考/闭卷考）或考查（大作业等形式）</w:t>
      </w:r>
    </w:p>
    <w:p w14:paraId="19901FFE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3.考核点支撑课程目标关系</w:t>
      </w:r>
    </w:p>
    <w:p w14:paraId="572EBC4E">
      <w:pPr>
        <w:pStyle w:val="5"/>
        <w:spacing w:line="360" w:lineRule="exact"/>
        <w:ind w:firstLine="422"/>
        <w:jc w:val="center"/>
        <w:rPr>
          <w:rFonts w:asciiTheme="minorEastAsia" w:hAnsiTheme="minorEastAsia" w:eastAsiaTheme="minorEastAsia"/>
          <w:highlight w:val="yellow"/>
        </w:rPr>
      </w:pPr>
      <w:r>
        <w:rPr>
          <w:rFonts w:hint="eastAsia" w:cs="仿宋" w:asciiTheme="minorEastAsia" w:hAnsiTheme="minorEastAsia" w:eastAsiaTheme="minorEastAsia"/>
          <w:b/>
          <w:color w:val="000000"/>
        </w:rPr>
        <w:t>表6-1</w:t>
      </w:r>
      <w:r>
        <w:rPr>
          <w:rFonts w:hint="eastAsia" w:cs="仿宋" w:asciiTheme="minorEastAsia" w:hAnsiTheme="minorEastAsia" w:eastAsiaTheme="minorEastAsia"/>
          <w:b/>
          <w:color w:val="000000"/>
          <w:kern w:val="2"/>
        </w:rPr>
        <w:t xml:space="preserve"> 课程考核与成绩评定方法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580"/>
        <w:gridCol w:w="2184"/>
        <w:gridCol w:w="2403"/>
      </w:tblGrid>
      <w:tr w14:paraId="5092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center"/>
          </w:tcPr>
          <w:p w14:paraId="1FBB6C2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考核项目</w:t>
            </w:r>
          </w:p>
        </w:tc>
        <w:tc>
          <w:tcPr>
            <w:tcW w:w="1880" w:type="pct"/>
            <w:vAlign w:val="center"/>
          </w:tcPr>
          <w:p w14:paraId="1F52D8F2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考核内容</w:t>
            </w:r>
          </w:p>
        </w:tc>
        <w:tc>
          <w:tcPr>
            <w:tcW w:w="1147" w:type="pct"/>
            <w:vAlign w:val="center"/>
          </w:tcPr>
          <w:p w14:paraId="46A971D9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考核关联的课程目标</w:t>
            </w:r>
          </w:p>
        </w:tc>
        <w:tc>
          <w:tcPr>
            <w:tcW w:w="1262" w:type="pct"/>
            <w:vAlign w:val="center"/>
          </w:tcPr>
          <w:p w14:paraId="6332389F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占总评成绩的比重</w:t>
            </w:r>
          </w:p>
        </w:tc>
      </w:tr>
      <w:tr w14:paraId="621F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27E456B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平时成绩</w:t>
            </w:r>
          </w:p>
        </w:tc>
        <w:tc>
          <w:tcPr>
            <w:tcW w:w="1880" w:type="pct"/>
            <w:vAlign w:val="center"/>
          </w:tcPr>
          <w:p w14:paraId="05C83397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25E408EC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62" w:type="pct"/>
            <w:vAlign w:val="center"/>
          </w:tcPr>
          <w:p w14:paraId="0C535ED2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3B47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070F0CD1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43AF6325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6EC12A23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62" w:type="pct"/>
            <w:vAlign w:val="center"/>
          </w:tcPr>
          <w:p w14:paraId="22CD97A8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0B92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10" w:type="pct"/>
            <w:vMerge w:val="continue"/>
            <w:tcMar>
              <w:left w:w="57" w:type="dxa"/>
              <w:right w:w="57" w:type="dxa"/>
            </w:tcMar>
            <w:vAlign w:val="center"/>
          </w:tcPr>
          <w:p w14:paraId="59779B09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880" w:type="pct"/>
            <w:vAlign w:val="center"/>
          </w:tcPr>
          <w:p w14:paraId="0897415C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69C5469C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62" w:type="pct"/>
            <w:vAlign w:val="center"/>
          </w:tcPr>
          <w:p w14:paraId="09657CD5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2866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center"/>
          </w:tcPr>
          <w:p w14:paraId="6FD15A2E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期末成绩</w:t>
            </w:r>
          </w:p>
        </w:tc>
        <w:tc>
          <w:tcPr>
            <w:tcW w:w="1880" w:type="pct"/>
            <w:vAlign w:val="center"/>
          </w:tcPr>
          <w:p w14:paraId="113B59DB">
            <w:pPr>
              <w:pStyle w:val="6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50060F48">
            <w:pPr>
              <w:pStyle w:val="6"/>
              <w:spacing w:line="360" w:lineRule="exact"/>
              <w:ind w:firstLine="420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262" w:type="pct"/>
            <w:vAlign w:val="center"/>
          </w:tcPr>
          <w:p w14:paraId="5C95C643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Cs w:val="21"/>
              </w:rPr>
              <w:t>%</w:t>
            </w:r>
          </w:p>
        </w:tc>
      </w:tr>
      <w:tr w14:paraId="55AB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pct"/>
            <w:gridSpan w:val="2"/>
            <w:tcMar>
              <w:left w:w="57" w:type="dxa"/>
              <w:right w:w="57" w:type="dxa"/>
            </w:tcMar>
            <w:vAlign w:val="center"/>
          </w:tcPr>
          <w:p w14:paraId="373F16AC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总评成绩</w:t>
            </w:r>
          </w:p>
        </w:tc>
        <w:tc>
          <w:tcPr>
            <w:tcW w:w="1147" w:type="pct"/>
            <w:vAlign w:val="center"/>
          </w:tcPr>
          <w:p w14:paraId="112FC35E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62" w:type="pct"/>
            <w:vAlign w:val="center"/>
          </w:tcPr>
          <w:p w14:paraId="0F183032">
            <w:pPr>
              <w:pStyle w:val="6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szCs w:val="21"/>
              </w:rPr>
              <w:t>100%</w:t>
            </w:r>
          </w:p>
        </w:tc>
      </w:tr>
    </w:tbl>
    <w:p w14:paraId="27811F71">
      <w:pPr>
        <w:spacing w:line="360" w:lineRule="exact"/>
        <w:ind w:firstLine="422" w:firstLineChars="200"/>
        <w:jc w:val="center"/>
        <w:rPr>
          <w:rFonts w:hint="eastAsia" w:cs="仿宋" w:asciiTheme="minorEastAsia" w:hAnsiTheme="minorEastAsia" w:eastAsiaTheme="minorEastAsia"/>
          <w:b/>
          <w:color w:val="00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000000"/>
          <w:szCs w:val="21"/>
        </w:rPr>
        <w:t>表6-2 考核内容详细评分标准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16"/>
        <w:gridCol w:w="1886"/>
        <w:gridCol w:w="1453"/>
        <w:gridCol w:w="1453"/>
        <w:gridCol w:w="1517"/>
        <w:gridCol w:w="1542"/>
      </w:tblGrid>
      <w:tr w14:paraId="7AE3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" w:hRule="atLeast"/>
          <w:tblHeader/>
          <w:jc w:val="center"/>
        </w:trPr>
        <w:tc>
          <w:tcPr>
            <w:tcW w:w="8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C0BFE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Cs w:val="21"/>
              </w:rPr>
              <w:t>考核内容</w:t>
            </w:r>
          </w:p>
        </w:tc>
        <w:tc>
          <w:tcPr>
            <w:tcW w:w="41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EFFF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/>
                <w:szCs w:val="21"/>
              </w:rPr>
              <w:t>评分标准</w:t>
            </w:r>
          </w:p>
        </w:tc>
      </w:tr>
      <w:tr w14:paraId="2E5C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5" w:hRule="atLeast"/>
          <w:tblHeader/>
          <w:jc w:val="center"/>
        </w:trPr>
        <w:tc>
          <w:tcPr>
            <w:tcW w:w="8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B2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BCF7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优秀</w:t>
            </w:r>
          </w:p>
          <w:p w14:paraId="232D5EFA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（90-100）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A2C2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良好</w:t>
            </w:r>
          </w:p>
          <w:p w14:paraId="6D5BDA60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（80-89）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39CD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中等</w:t>
            </w:r>
          </w:p>
          <w:p w14:paraId="7DF9BF16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（70-79）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91BD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及格</w:t>
            </w:r>
          </w:p>
          <w:p w14:paraId="17D92EE1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（60-69）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A6E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不及格</w:t>
            </w:r>
          </w:p>
          <w:p w14:paraId="01C1B6F7"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  <w:lang w:val="en-US" w:eastAsia="zh-CN"/>
              </w:rPr>
              <w:t>&lt;60</w:t>
            </w:r>
            <w:r>
              <w:rPr>
                <w:rFonts w:hint="eastAsia" w:cs="仿宋" w:asciiTheme="minorEastAsia" w:hAnsiTheme="minorEastAsia" w:eastAsiaTheme="minorEastAsia"/>
                <w:b/>
                <w:color w:val="000000"/>
                <w:szCs w:val="21"/>
              </w:rPr>
              <w:t>）</w:t>
            </w:r>
          </w:p>
        </w:tc>
      </w:tr>
      <w:tr w14:paraId="2F92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88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zCs w:val="21"/>
              </w:rPr>
            </w:pPr>
          </w:p>
        </w:tc>
        <w:tc>
          <w:tcPr>
            <w:tcW w:w="9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F2599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E3B5D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color w:val="000000"/>
                <w:spacing w:val="-6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E1384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color w:val="000000"/>
                <w:spacing w:val="-6"/>
                <w:szCs w:val="21"/>
              </w:rPr>
            </w:pP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0B44A2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color w:val="000000"/>
                <w:spacing w:val="-6"/>
                <w:szCs w:val="21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039FB7">
            <w:pPr>
              <w:spacing w:line="360" w:lineRule="exact"/>
              <w:ind w:left="-53" w:leftChars="-25" w:right="-53" w:rightChars="-25"/>
              <w:rPr>
                <w:rFonts w:cs="仿宋" w:asciiTheme="minorEastAsia" w:hAnsiTheme="minorEastAsia" w:eastAsiaTheme="minorEastAsia"/>
                <w:spacing w:val="-6"/>
                <w:szCs w:val="21"/>
              </w:rPr>
            </w:pPr>
          </w:p>
        </w:tc>
      </w:tr>
      <w:tr w14:paraId="0ABC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DC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FF713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3C3623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A41DE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D3FF2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1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450FC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 w14:paraId="6895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5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3144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89F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2542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B5FE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15D3">
            <w:pPr>
              <w:spacing w:line="360" w:lineRule="exac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 w14:paraId="69C752F3">
      <w:pPr>
        <w:adjustRightInd w:val="0"/>
        <w:snapToGrid w:val="0"/>
        <w:spacing w:line="360" w:lineRule="exact"/>
        <w:ind w:firstLine="420" w:firstLineChars="200"/>
        <w:rPr>
          <w:rFonts w:hint="default"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注：</w:t>
      </w:r>
      <w:r>
        <w:rPr>
          <w:rFonts w:hint="default" w:cs="仿宋" w:asciiTheme="minorEastAsia" w:hAnsiTheme="minorEastAsia" w:eastAsiaTheme="minorEastAsia"/>
          <w:color w:val="FF0000"/>
          <w:szCs w:val="21"/>
        </w:rPr>
        <w:t>期末考试按照参考答案和评分标准进行评分，平时成绩所占比例不低于40%。</w:t>
      </w:r>
    </w:p>
    <w:p w14:paraId="0DEA1F63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七、教材及教学参考书</w:t>
      </w:r>
    </w:p>
    <w:p w14:paraId="489C8A45">
      <w:pPr>
        <w:spacing w:line="360" w:lineRule="exact"/>
        <w:ind w:firstLine="420" w:firstLineChars="200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课程思政要落实到教材编审选用。推荐不少于3本的教材及教学参考书，书写格式：教材名称，主编（作者或译者），国际标准书号（ISBN，用“-”隔开数字），出版社，出版时间，出版国家（仅用于境外教材）。鼓励采用自编讲义，完善课程教学资源库建设。（正文：宋体、五号、固定值18磅行距）</w:t>
      </w:r>
    </w:p>
    <w:p w14:paraId="60947071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八、其他说明</w:t>
      </w:r>
    </w:p>
    <w:p w14:paraId="7827E60E">
      <w:pPr>
        <w:snapToGrid w:val="0"/>
        <w:spacing w:line="360" w:lineRule="exact"/>
        <w:ind w:firstLine="420" w:firstLineChars="200"/>
        <w:jc w:val="left"/>
        <w:rPr>
          <w:rFonts w:cs="仿宋" w:asciiTheme="minorEastAsia" w:hAnsiTheme="minorEastAsia" w:eastAsiaTheme="minorEastAsia"/>
          <w:color w:val="FF0000"/>
          <w:szCs w:val="21"/>
        </w:rPr>
      </w:pPr>
      <w:r>
        <w:rPr>
          <w:rFonts w:hint="eastAsia" w:cs="仿宋" w:asciiTheme="minorEastAsia" w:hAnsiTheme="minorEastAsia" w:eastAsiaTheme="minorEastAsia"/>
          <w:color w:val="FF0000"/>
          <w:szCs w:val="21"/>
        </w:rPr>
        <w:t>编写建议：课程教学网站、教学参考网站、专业期刊。（正文：宋体、五号、固定值18磅行距）</w:t>
      </w:r>
    </w:p>
    <w:p w14:paraId="3FBADE6F">
      <w:pPr>
        <w:spacing w:line="360" w:lineRule="exact"/>
        <w:ind w:firstLine="422" w:firstLineChars="200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九、编制与审核</w:t>
      </w:r>
    </w:p>
    <w:p w14:paraId="7D1DDBB2">
      <w:pPr>
        <w:spacing w:line="360" w:lineRule="exact"/>
        <w:ind w:firstLine="422" w:firstLineChars="200"/>
        <w:jc w:val="center"/>
        <w:rPr>
          <w:rFonts w:cs="仿宋" w:asciiTheme="minorEastAsia" w:hAnsiTheme="minorEastAsia" w:eastAsiaTheme="minorEastAsia"/>
          <w:b/>
          <w:color w:val="000000"/>
          <w:szCs w:val="21"/>
        </w:rPr>
      </w:pPr>
      <w:r>
        <w:rPr>
          <w:rFonts w:hint="eastAsia" w:cs="仿宋" w:asciiTheme="minorEastAsia" w:hAnsiTheme="minorEastAsia" w:eastAsiaTheme="minorEastAsia"/>
          <w:b/>
          <w:color w:val="000000"/>
          <w:szCs w:val="21"/>
        </w:rPr>
        <w:t>表9-1大纲编制与审核信息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959"/>
        <w:gridCol w:w="1737"/>
        <w:gridCol w:w="2156"/>
      </w:tblGrid>
      <w:tr w14:paraId="64D6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</w:tcPr>
          <w:p w14:paraId="7AD59DF4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工作内容</w:t>
            </w:r>
          </w:p>
        </w:tc>
        <w:tc>
          <w:tcPr>
            <w:tcW w:w="2068" w:type="pct"/>
          </w:tcPr>
          <w:p w14:paraId="54550D16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责任部门或机构</w:t>
            </w:r>
          </w:p>
        </w:tc>
        <w:tc>
          <w:tcPr>
            <w:tcW w:w="907" w:type="pct"/>
          </w:tcPr>
          <w:p w14:paraId="3A735A3E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负责人</w:t>
            </w:r>
          </w:p>
        </w:tc>
        <w:tc>
          <w:tcPr>
            <w:tcW w:w="1126" w:type="pct"/>
          </w:tcPr>
          <w:p w14:paraId="1E5609C0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szCs w:val="21"/>
              </w:rPr>
              <w:t>完成时间</w:t>
            </w:r>
          </w:p>
        </w:tc>
      </w:tr>
      <w:tr w14:paraId="77E5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</w:tcPr>
          <w:p w14:paraId="3C73368D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执笔</w:t>
            </w:r>
          </w:p>
        </w:tc>
        <w:tc>
          <w:tcPr>
            <w:tcW w:w="2068" w:type="pct"/>
          </w:tcPr>
          <w:p w14:paraId="64B5906F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07" w:type="pct"/>
          </w:tcPr>
          <w:p w14:paraId="0DD6238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26" w:type="pct"/>
          </w:tcPr>
          <w:p w14:paraId="36A7D86F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  <w:u w:val="single"/>
              </w:rPr>
            </w:pPr>
          </w:p>
        </w:tc>
      </w:tr>
      <w:tr w14:paraId="0BB8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</w:tcPr>
          <w:p w14:paraId="0A195FFC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审核</w:t>
            </w:r>
          </w:p>
        </w:tc>
        <w:tc>
          <w:tcPr>
            <w:tcW w:w="2068" w:type="pct"/>
          </w:tcPr>
          <w:p w14:paraId="6B5BC5A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07" w:type="pct"/>
          </w:tcPr>
          <w:p w14:paraId="0326BBB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26" w:type="pct"/>
          </w:tcPr>
          <w:p w14:paraId="3034607E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  <w:u w:val="single"/>
              </w:rPr>
            </w:pPr>
          </w:p>
        </w:tc>
      </w:tr>
      <w:tr w14:paraId="48FC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</w:tcPr>
          <w:p w14:paraId="74FB1E60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审定</w:t>
            </w:r>
          </w:p>
        </w:tc>
        <w:tc>
          <w:tcPr>
            <w:tcW w:w="2068" w:type="pct"/>
          </w:tcPr>
          <w:p w14:paraId="69171EED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××学院教学工作相关委员会</w:t>
            </w:r>
          </w:p>
        </w:tc>
        <w:tc>
          <w:tcPr>
            <w:tcW w:w="907" w:type="pct"/>
          </w:tcPr>
          <w:p w14:paraId="06627A24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26" w:type="pct"/>
          </w:tcPr>
          <w:p w14:paraId="10E2B981">
            <w:pPr>
              <w:snapToGrid w:val="0"/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Cs w:val="21"/>
                <w:u w:val="single"/>
              </w:rPr>
            </w:pPr>
          </w:p>
        </w:tc>
      </w:tr>
    </w:tbl>
    <w:p w14:paraId="623FC511">
      <w:pPr>
        <w:spacing w:line="360" w:lineRule="exact"/>
        <w:rPr>
          <w:rFonts w:asciiTheme="minorEastAsia" w:hAnsiTheme="minorEastAsia" w:eastAsiaTheme="minorEastAsia"/>
          <w:szCs w:val="21"/>
        </w:rPr>
      </w:pPr>
    </w:p>
    <w:p w14:paraId="2B97FDAA"/>
    <w:sectPr>
      <w:pgSz w:w="11906" w:h="16838"/>
      <w:pgMar w:top="1440" w:right="1134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602C2"/>
    <w:rsid w:val="02935F72"/>
    <w:rsid w:val="11E602C2"/>
    <w:rsid w:val="1F305A34"/>
    <w:rsid w:val="1F580591"/>
    <w:rsid w:val="460727AE"/>
    <w:rsid w:val="47F268E9"/>
    <w:rsid w:val="5C881AB7"/>
    <w:rsid w:val="644B60E6"/>
    <w:rsid w:val="7B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纯文本1"/>
    <w:basedOn w:val="1"/>
    <w:qFormat/>
    <w:uiPriority w:val="99"/>
    <w:pPr>
      <w:ind w:firstLine="200" w:firstLineChars="200"/>
    </w:pPr>
    <w:rPr>
      <w:rFonts w:ascii="宋体" w:hAnsi="Courier New"/>
      <w:kern w:val="0"/>
      <w:szCs w:val="21"/>
    </w:rPr>
  </w:style>
  <w:style w:type="paragraph" w:customStyle="1" w:styleId="6">
    <w:name w:val="在表格内文字"/>
    <w:basedOn w:val="1"/>
    <w:qFormat/>
    <w:uiPriority w:val="0"/>
    <w:rPr>
      <w:rFonts w:ascii="Times New Roman" w:hAnsi="Times New Roman"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1406</Characters>
  <Lines>0</Lines>
  <Paragraphs>0</Paragraphs>
  <TotalTime>1</TotalTime>
  <ScaleCrop>false</ScaleCrop>
  <LinksUpToDate>false</LinksUpToDate>
  <CharactersWithSpaces>1413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2025-07-07T12:29:00Z</dcterms:created>
  <dc:creator>王静</dc:creator>
  <cp:lastModifiedBy>飞燕</cp:lastModifiedBy>
  <dcterms:modified xsi:type="dcterms:W3CDTF">2026-06-16T06:04:22Z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62C19AE0BF9A4833A3C04EAFB0424B43_11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