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8C728A">
      <w:pPr>
        <w:keepNext w:val="0"/>
        <w:keepLines w:val="0"/>
        <w:pageBreakBefore w:val="0"/>
        <w:widowControl w:val="0"/>
        <w:kinsoku/>
        <w:wordWrap w:val="0"/>
        <w:overflowPunct w:val="0"/>
        <w:topLinePunct/>
        <w:autoSpaceDE/>
        <w:autoSpaceDN/>
        <w:bidi w:val="0"/>
        <w:spacing w:line="600" w:lineRule="exact"/>
        <w:ind w:right="0" w:rightChars="0"/>
        <w:jc w:val="center"/>
        <w:textAlignment w:val="auto"/>
        <w:rPr>
          <w:rFonts w:hint="default" w:ascii="Times New Roman" w:hAnsi="Times New Roman" w:eastAsia="仿宋_GB2312" w:cs="Times New Roman"/>
          <w:color w:val="auto"/>
          <w:sz w:val="44"/>
          <w:szCs w:val="44"/>
          <w:highlight w:val="none"/>
          <w:lang w:eastAsia="zh-CN" w:bidi="ar"/>
        </w:rPr>
      </w:pPr>
      <w:r>
        <w:rPr>
          <w:rFonts w:hint="default" w:ascii="Times New Roman" w:hAnsi="Times New Roman" w:eastAsia="方正小标宋_GBK" w:cs="Times New Roman"/>
          <w:kern w:val="0"/>
          <w:sz w:val="44"/>
          <w:szCs w:val="44"/>
        </w:rPr>
        <w:drawing>
          <wp:anchor distT="0" distB="0" distL="114300" distR="114300" simplePos="0" relativeHeight="251659264" behindDoc="1" locked="0" layoutInCell="1" allowOverlap="1">
            <wp:simplePos x="0" y="0"/>
            <wp:positionH relativeFrom="column">
              <wp:posOffset>-980440</wp:posOffset>
            </wp:positionH>
            <wp:positionV relativeFrom="paragraph">
              <wp:posOffset>-1360805</wp:posOffset>
            </wp:positionV>
            <wp:extent cx="7560310" cy="3727450"/>
            <wp:effectExtent l="0" t="0" r="2540" b="6350"/>
            <wp:wrapNone/>
            <wp:docPr id="1" name="图片 1" descr="温州理工学院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温州理工学院文件"/>
                    <pic:cNvPicPr>
                      <a:picLocks noChangeAspect="1"/>
                    </pic:cNvPicPr>
                  </pic:nvPicPr>
                  <pic:blipFill>
                    <a:blip r:embed="rId5"/>
                    <a:stretch>
                      <a:fillRect/>
                    </a:stretch>
                  </pic:blipFill>
                  <pic:spPr>
                    <a:xfrm>
                      <a:off x="0" y="0"/>
                      <a:ext cx="7560310" cy="3727450"/>
                    </a:xfrm>
                    <a:prstGeom prst="rect">
                      <a:avLst/>
                    </a:prstGeom>
                    <a:noFill/>
                    <a:ln>
                      <a:noFill/>
                    </a:ln>
                  </pic:spPr>
                </pic:pic>
              </a:graphicData>
            </a:graphic>
          </wp:anchor>
        </w:drawing>
      </w:r>
    </w:p>
    <w:p w14:paraId="266E98D5">
      <w:pPr>
        <w:keepNext w:val="0"/>
        <w:keepLines w:val="0"/>
        <w:pageBreakBefore w:val="0"/>
        <w:widowControl w:val="0"/>
        <w:kinsoku/>
        <w:wordWrap w:val="0"/>
        <w:overflowPunct w:val="0"/>
        <w:topLinePunct/>
        <w:autoSpaceDE/>
        <w:autoSpaceDN/>
        <w:bidi w:val="0"/>
        <w:spacing w:line="600" w:lineRule="exact"/>
        <w:ind w:right="0" w:rightChars="0"/>
        <w:jc w:val="center"/>
        <w:textAlignment w:val="auto"/>
        <w:rPr>
          <w:rFonts w:hint="default" w:ascii="Times New Roman" w:hAnsi="Times New Roman" w:eastAsia="仿宋_GB2312" w:cs="Times New Roman"/>
          <w:color w:val="auto"/>
          <w:sz w:val="44"/>
          <w:szCs w:val="44"/>
          <w:highlight w:val="none"/>
          <w:lang w:eastAsia="zh-CN" w:bidi="ar"/>
        </w:rPr>
      </w:pPr>
    </w:p>
    <w:p w14:paraId="158BAA26">
      <w:pPr>
        <w:keepNext w:val="0"/>
        <w:keepLines w:val="0"/>
        <w:pageBreakBefore w:val="0"/>
        <w:widowControl w:val="0"/>
        <w:kinsoku/>
        <w:wordWrap w:val="0"/>
        <w:overflowPunct w:val="0"/>
        <w:topLinePunct/>
        <w:autoSpaceDE/>
        <w:autoSpaceDN/>
        <w:bidi w:val="0"/>
        <w:spacing w:line="600" w:lineRule="exact"/>
        <w:ind w:right="0" w:rightChars="0"/>
        <w:jc w:val="center"/>
        <w:textAlignment w:val="auto"/>
        <w:rPr>
          <w:rFonts w:hint="default" w:ascii="Times New Roman" w:hAnsi="Times New Roman" w:eastAsia="仿宋_GB2312" w:cs="Times New Roman"/>
          <w:color w:val="auto"/>
          <w:sz w:val="44"/>
          <w:szCs w:val="44"/>
          <w:highlight w:val="none"/>
          <w:lang w:bidi="ar"/>
        </w:rPr>
      </w:pPr>
    </w:p>
    <w:p w14:paraId="2028E90D">
      <w:pPr>
        <w:keepNext w:val="0"/>
        <w:keepLines w:val="0"/>
        <w:pageBreakBefore w:val="0"/>
        <w:widowControl w:val="0"/>
        <w:kinsoku/>
        <w:wordWrap w:val="0"/>
        <w:overflowPunct w:val="0"/>
        <w:topLinePunct/>
        <w:autoSpaceDE/>
        <w:autoSpaceDN/>
        <w:bidi w:val="0"/>
        <w:spacing w:line="600" w:lineRule="exact"/>
        <w:ind w:right="0" w:rightChars="0"/>
        <w:jc w:val="center"/>
        <w:textAlignment w:val="auto"/>
        <w:rPr>
          <w:rFonts w:hint="default" w:ascii="Times New Roman" w:hAnsi="Times New Roman" w:eastAsia="仿宋_GB2312" w:cs="Times New Roman"/>
          <w:color w:val="auto"/>
          <w:sz w:val="44"/>
          <w:szCs w:val="44"/>
          <w:highlight w:val="none"/>
          <w:lang w:bidi="ar"/>
        </w:rPr>
      </w:pPr>
    </w:p>
    <w:p w14:paraId="2619B5C4">
      <w:pPr>
        <w:keepNext w:val="0"/>
        <w:keepLines w:val="0"/>
        <w:pageBreakBefore w:val="0"/>
        <w:widowControl w:val="0"/>
        <w:kinsoku/>
        <w:wordWrap w:val="0"/>
        <w:overflowPunct w:val="0"/>
        <w:topLinePunct/>
        <w:autoSpaceDE/>
        <w:autoSpaceDN/>
        <w:bidi w:val="0"/>
        <w:spacing w:line="600" w:lineRule="exact"/>
        <w:ind w:right="0" w:rightChars="0"/>
        <w:jc w:val="both"/>
        <w:textAlignment w:val="auto"/>
        <w:rPr>
          <w:rFonts w:hint="default" w:ascii="Times New Roman" w:hAnsi="Times New Roman" w:eastAsia="仿宋_GB2312" w:cs="Times New Roman"/>
          <w:color w:val="auto"/>
          <w:sz w:val="32"/>
          <w:szCs w:val="32"/>
          <w:highlight w:val="none"/>
        </w:rPr>
      </w:pPr>
    </w:p>
    <w:p w14:paraId="4D18EAFA">
      <w:pPr>
        <w:keepNext w:val="0"/>
        <w:keepLines w:val="0"/>
        <w:pageBreakBefore w:val="0"/>
        <w:widowControl w:val="0"/>
        <w:kinsoku/>
        <w:wordWrap w:val="0"/>
        <w:overflowPunct w:val="0"/>
        <w:topLinePunct/>
        <w:autoSpaceDE/>
        <w:autoSpaceDN/>
        <w:bidi w:val="0"/>
        <w:spacing w:line="600" w:lineRule="exact"/>
        <w:ind w:right="0" w:rightChars="0"/>
        <w:jc w:val="center"/>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温理工</w:t>
      </w:r>
      <w:r>
        <w:rPr>
          <w:rFonts w:hint="default" w:ascii="Times New Roman" w:hAnsi="Times New Roman" w:eastAsia="仿宋_GB2312" w:cs="Times New Roman"/>
          <w:color w:val="auto"/>
          <w:sz w:val="32"/>
          <w:szCs w:val="32"/>
          <w:highlight w:val="none"/>
          <w:lang w:val="en-US" w:eastAsia="zh-CN"/>
        </w:rPr>
        <w:t>行政发</w:t>
      </w:r>
      <w:r>
        <w:rPr>
          <w:rFonts w:hint="default" w:ascii="Times New Roman" w:hAnsi="Times New Roman" w:eastAsia="仿宋_GB2312" w:cs="Times New Roman"/>
          <w:color w:val="auto"/>
          <w:sz w:val="32"/>
          <w:szCs w:val="32"/>
          <w:highlight w:val="none"/>
        </w:rPr>
        <w:t>〔202</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rPr>
        <w:t>号</w:t>
      </w:r>
    </w:p>
    <w:p w14:paraId="71609DD2">
      <w:pPr>
        <w:keepNext w:val="0"/>
        <w:keepLines w:val="0"/>
        <w:pageBreakBefore w:val="0"/>
        <w:widowControl w:val="0"/>
        <w:kinsoku/>
        <w:wordWrap w:val="0"/>
        <w:overflowPunct w:val="0"/>
        <w:topLinePunct/>
        <w:autoSpaceDE/>
        <w:autoSpaceDN/>
        <w:bidi w:val="0"/>
        <w:spacing w:line="600" w:lineRule="exact"/>
        <w:ind w:right="0" w:rightChars="0"/>
        <w:jc w:val="center"/>
        <w:textAlignment w:val="auto"/>
        <w:rPr>
          <w:rFonts w:hint="default" w:ascii="Times New Roman" w:hAnsi="Times New Roman" w:eastAsia="仿宋_GB2312" w:cs="Times New Roman"/>
          <w:color w:val="auto"/>
          <w:sz w:val="32"/>
          <w:szCs w:val="32"/>
          <w:highlight w:val="none"/>
        </w:rPr>
      </w:pPr>
    </w:p>
    <w:p w14:paraId="1657D907">
      <w:pPr>
        <w:keepNext w:val="0"/>
        <w:keepLines w:val="0"/>
        <w:pageBreakBefore w:val="0"/>
        <w:widowControl w:val="0"/>
        <w:kinsoku/>
        <w:wordWrap w:val="0"/>
        <w:overflowPunct w:val="0"/>
        <w:topLinePunct/>
        <w:autoSpaceDE/>
        <w:autoSpaceDN/>
        <w:bidi w:val="0"/>
        <w:spacing w:line="600" w:lineRule="exact"/>
        <w:ind w:right="0" w:rightChars="0"/>
        <w:jc w:val="center"/>
        <w:textAlignment w:val="auto"/>
        <w:rPr>
          <w:rFonts w:hint="default" w:ascii="Times New Roman" w:hAnsi="Times New Roman" w:eastAsia="仿宋_GB2312" w:cs="Times New Roman"/>
          <w:color w:val="auto"/>
          <w:sz w:val="32"/>
          <w:szCs w:val="32"/>
          <w:highlight w:val="none"/>
        </w:rPr>
      </w:pPr>
    </w:p>
    <w:p w14:paraId="706B675B">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600" w:lineRule="exact"/>
        <w:ind w:left="0" w:right="0" w:firstLine="0"/>
        <w:jc w:val="center"/>
        <w:textAlignment w:val="auto"/>
        <w:rPr>
          <w:rStyle w:val="10"/>
          <w:rFonts w:hint="default" w:ascii="Times New Roman" w:hAnsi="Times New Roman" w:eastAsia="方正小标宋_GBK" w:cs="Times New Roman"/>
          <w:b w:val="0"/>
          <w:bCs w:val="0"/>
          <w:i w:val="0"/>
          <w:iCs w:val="0"/>
          <w:caps w:val="0"/>
          <w:color w:val="0F1115"/>
          <w:spacing w:val="0"/>
          <w:sz w:val="44"/>
          <w:szCs w:val="44"/>
          <w:shd w:val="clear" w:fill="FFFFFF"/>
        </w:rPr>
      </w:pPr>
      <w:r>
        <w:rPr>
          <w:rStyle w:val="10"/>
          <w:rFonts w:hint="default" w:ascii="Times New Roman" w:hAnsi="Times New Roman" w:eastAsia="方正小标宋_GBK" w:cs="Times New Roman"/>
          <w:b w:val="0"/>
          <w:bCs w:val="0"/>
          <w:i w:val="0"/>
          <w:iCs w:val="0"/>
          <w:caps w:val="0"/>
          <w:color w:val="0F1115"/>
          <w:spacing w:val="0"/>
          <w:sz w:val="44"/>
          <w:szCs w:val="44"/>
          <w:shd w:val="clear" w:fill="FFFFFF"/>
        </w:rPr>
        <w:t>关于</w:t>
      </w:r>
      <w:r>
        <w:rPr>
          <w:rStyle w:val="10"/>
          <w:rFonts w:hint="default" w:ascii="Times New Roman" w:hAnsi="Times New Roman" w:eastAsia="方正小标宋_GBK" w:cs="Times New Roman"/>
          <w:b w:val="0"/>
          <w:bCs w:val="0"/>
          <w:i w:val="0"/>
          <w:iCs w:val="0"/>
          <w:caps w:val="0"/>
          <w:color w:val="0F1115"/>
          <w:spacing w:val="0"/>
          <w:sz w:val="44"/>
          <w:szCs w:val="44"/>
          <w:shd w:val="clear" w:fill="FFFFFF"/>
          <w:lang w:val="en-US" w:eastAsia="zh-CN"/>
        </w:rPr>
        <w:t>印发《温州理工学院教材管理办法》</w:t>
      </w:r>
      <w:r>
        <w:rPr>
          <w:rStyle w:val="10"/>
          <w:rFonts w:hint="default" w:ascii="Times New Roman" w:hAnsi="Times New Roman" w:eastAsia="方正小标宋_GBK" w:cs="Times New Roman"/>
          <w:b w:val="0"/>
          <w:bCs w:val="0"/>
          <w:i w:val="0"/>
          <w:iCs w:val="0"/>
          <w:caps w:val="0"/>
          <w:color w:val="0F1115"/>
          <w:spacing w:val="0"/>
          <w:sz w:val="44"/>
          <w:szCs w:val="44"/>
          <w:shd w:val="clear" w:fill="FFFFFF"/>
        </w:rPr>
        <w:t>的</w:t>
      </w:r>
    </w:p>
    <w:p w14:paraId="38063943">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600" w:lineRule="exact"/>
        <w:ind w:left="0" w:right="0" w:firstLine="0"/>
        <w:jc w:val="center"/>
        <w:textAlignment w:val="auto"/>
        <w:rPr>
          <w:rFonts w:hint="default" w:ascii="Times New Roman" w:hAnsi="Times New Roman" w:eastAsia="方正小标宋_GBK" w:cs="Times New Roman"/>
          <w:b w:val="0"/>
          <w:bCs w:val="0"/>
          <w:i w:val="0"/>
          <w:iCs w:val="0"/>
          <w:caps w:val="0"/>
          <w:color w:val="0F1115"/>
          <w:spacing w:val="0"/>
          <w:sz w:val="44"/>
          <w:szCs w:val="44"/>
        </w:rPr>
      </w:pPr>
      <w:r>
        <w:rPr>
          <w:rStyle w:val="10"/>
          <w:rFonts w:hint="default" w:ascii="Times New Roman" w:hAnsi="Times New Roman" w:eastAsia="方正小标宋_GBK" w:cs="Times New Roman"/>
          <w:b w:val="0"/>
          <w:bCs w:val="0"/>
          <w:i w:val="0"/>
          <w:iCs w:val="0"/>
          <w:caps w:val="0"/>
          <w:color w:val="0F1115"/>
          <w:spacing w:val="0"/>
          <w:sz w:val="44"/>
          <w:szCs w:val="44"/>
          <w:shd w:val="clear" w:fill="FFFFFF"/>
        </w:rPr>
        <w:t>通知</w:t>
      </w:r>
    </w:p>
    <w:p w14:paraId="22CAE6B8">
      <w:pPr>
        <w:keepNext w:val="0"/>
        <w:keepLines w:val="0"/>
        <w:pageBreakBefore w:val="0"/>
        <w:widowControl w:val="0"/>
        <w:kinsoku/>
        <w:wordWrap/>
        <w:overflowPunct/>
        <w:topLinePunct/>
        <w:autoSpaceDE/>
        <w:autoSpaceDN/>
        <w:bidi w:val="0"/>
        <w:adjustRightInd w:val="0"/>
        <w:snapToGrid/>
        <w:spacing w:beforeAutospacing="0" w:afterAutospacing="0" w:line="600" w:lineRule="exact"/>
        <w:ind w:left="0" w:leftChars="0" w:right="0"/>
        <w:jc w:val="both"/>
        <w:textAlignment w:val="auto"/>
        <w:rPr>
          <w:rFonts w:hint="default" w:ascii="Times New Roman" w:hAnsi="Times New Roman" w:eastAsia="仿宋_GB2312" w:cs="Times New Roman"/>
          <w:snapToGrid/>
          <w:color w:val="auto"/>
          <w:kern w:val="2"/>
          <w:sz w:val="32"/>
          <w:szCs w:val="32"/>
          <w:highlight w:val="none"/>
          <w:lang w:eastAsia="zh-CN"/>
        </w:rPr>
      </w:pPr>
    </w:p>
    <w:p w14:paraId="27F1AAF5">
      <w:pPr>
        <w:keepNext w:val="0"/>
        <w:keepLines w:val="0"/>
        <w:pageBreakBefore w:val="0"/>
        <w:widowControl w:val="0"/>
        <w:kinsoku/>
        <w:wordWrap/>
        <w:overflowPunct/>
        <w:topLinePunct/>
        <w:autoSpaceDE/>
        <w:autoSpaceDN/>
        <w:bidi w:val="0"/>
        <w:adjustRightInd w:val="0"/>
        <w:snapToGrid/>
        <w:spacing w:beforeAutospacing="0" w:afterAutospacing="0" w:line="600" w:lineRule="exact"/>
        <w:ind w:left="0" w:leftChars="0" w:right="0"/>
        <w:jc w:val="both"/>
        <w:textAlignment w:val="auto"/>
        <w:rPr>
          <w:rFonts w:hint="default" w:ascii="Times New Roman" w:hAnsi="Times New Roman" w:eastAsia="仿宋_GB2312" w:cs="Times New Roman"/>
          <w:snapToGrid/>
          <w:color w:val="auto"/>
          <w:kern w:val="2"/>
          <w:sz w:val="32"/>
          <w:szCs w:val="32"/>
          <w:highlight w:val="none"/>
          <w:lang w:eastAsia="zh-CN"/>
        </w:rPr>
      </w:pPr>
      <w:r>
        <w:rPr>
          <w:rFonts w:hint="default" w:ascii="Times New Roman" w:hAnsi="Times New Roman" w:eastAsia="仿宋_GB2312" w:cs="Times New Roman"/>
          <w:snapToGrid/>
          <w:color w:val="auto"/>
          <w:kern w:val="2"/>
          <w:sz w:val="32"/>
          <w:szCs w:val="32"/>
          <w:highlight w:val="none"/>
          <w:lang w:eastAsia="zh-CN"/>
        </w:rPr>
        <w:t>各</w:t>
      </w:r>
      <w:r>
        <w:rPr>
          <w:rFonts w:hint="default" w:ascii="Times New Roman" w:hAnsi="Times New Roman" w:eastAsia="仿宋_GB2312" w:cs="Times New Roman"/>
          <w:snapToGrid/>
          <w:color w:val="auto"/>
          <w:kern w:val="2"/>
          <w:sz w:val="32"/>
          <w:szCs w:val="32"/>
          <w:highlight w:val="none"/>
          <w:lang w:val="en-US" w:eastAsia="zh-CN"/>
        </w:rPr>
        <w:t>二级</w:t>
      </w:r>
      <w:r>
        <w:rPr>
          <w:rFonts w:hint="default" w:ascii="Times New Roman" w:hAnsi="Times New Roman" w:eastAsia="仿宋_GB2312" w:cs="Times New Roman"/>
          <w:snapToGrid/>
          <w:color w:val="auto"/>
          <w:kern w:val="2"/>
          <w:sz w:val="32"/>
          <w:szCs w:val="32"/>
          <w:highlight w:val="none"/>
          <w:lang w:eastAsia="zh-CN"/>
        </w:rPr>
        <w:t>学院、各部门：</w:t>
      </w:r>
    </w:p>
    <w:p w14:paraId="1AE315A0">
      <w:pPr>
        <w:keepNext w:val="0"/>
        <w:keepLines w:val="0"/>
        <w:pageBreakBefore w:val="0"/>
        <w:widowControl w:val="0"/>
        <w:tabs>
          <w:tab w:val="left" w:pos="4620"/>
        </w:tabs>
        <w:kinsoku/>
        <w:wordWrap/>
        <w:overflowPunct/>
        <w:topLinePunct/>
        <w:autoSpaceDE/>
        <w:autoSpaceDN/>
        <w:bidi w:val="0"/>
        <w:adjustRightInd w:val="0"/>
        <w:snapToGrid/>
        <w:spacing w:beforeAutospacing="0" w:afterAutospacing="0" w:line="600" w:lineRule="exact"/>
        <w:ind w:left="0" w:leftChars="0" w:right="0" w:firstLine="640" w:firstLineChars="200"/>
        <w:jc w:val="both"/>
        <w:textAlignment w:val="auto"/>
        <w:rPr>
          <w:rFonts w:hint="default" w:ascii="Times New Roman" w:hAnsi="Times New Roman" w:eastAsia="仿宋_GB2312" w:cs="Times New Roman"/>
          <w:snapToGrid/>
          <w:color w:val="auto"/>
          <w:kern w:val="2"/>
          <w:sz w:val="32"/>
          <w:szCs w:val="32"/>
          <w:highlight w:val="none"/>
          <w:lang w:eastAsia="zh-CN"/>
        </w:rPr>
      </w:pPr>
      <w:r>
        <w:rPr>
          <w:rFonts w:hint="default" w:ascii="Times New Roman" w:hAnsi="Times New Roman" w:eastAsia="仿宋_GB2312" w:cs="Times New Roman"/>
          <w:snapToGrid/>
          <w:color w:val="auto"/>
          <w:kern w:val="2"/>
          <w:sz w:val="32"/>
          <w:szCs w:val="32"/>
          <w:highlight w:val="none"/>
          <w:lang w:eastAsia="zh-CN"/>
        </w:rPr>
        <w:t>经2026年4月27日第107次校长办公会、4月28日第151次党委会审议通过，现将《温州理工学院教材管理办法》印发给你们，请</w:t>
      </w:r>
      <w:r>
        <w:rPr>
          <w:rFonts w:hint="default" w:ascii="Times New Roman" w:hAnsi="Times New Roman" w:eastAsia="仿宋_GB2312" w:cs="Times New Roman"/>
          <w:snapToGrid/>
          <w:color w:val="auto"/>
          <w:kern w:val="2"/>
          <w:sz w:val="32"/>
          <w:szCs w:val="32"/>
          <w:highlight w:val="none"/>
          <w:lang w:val="en-US" w:eastAsia="zh-CN"/>
        </w:rPr>
        <w:t>认真</w:t>
      </w:r>
      <w:r>
        <w:rPr>
          <w:rFonts w:hint="default" w:ascii="Times New Roman" w:hAnsi="Times New Roman" w:eastAsia="仿宋_GB2312" w:cs="Times New Roman"/>
          <w:snapToGrid/>
          <w:color w:val="auto"/>
          <w:kern w:val="2"/>
          <w:sz w:val="32"/>
          <w:szCs w:val="32"/>
          <w:highlight w:val="none"/>
          <w:lang w:eastAsia="zh-CN"/>
        </w:rPr>
        <w:t>遵照执行。</w:t>
      </w:r>
    </w:p>
    <w:p w14:paraId="7CCAEF99">
      <w:pPr>
        <w:keepNext w:val="0"/>
        <w:keepLines w:val="0"/>
        <w:pageBreakBefore w:val="0"/>
        <w:widowControl w:val="0"/>
        <w:tabs>
          <w:tab w:val="left" w:pos="4620"/>
        </w:tabs>
        <w:kinsoku/>
        <w:wordWrap/>
        <w:overflowPunct/>
        <w:topLinePunct/>
        <w:autoSpaceDE/>
        <w:autoSpaceDN/>
        <w:bidi w:val="0"/>
        <w:adjustRightInd w:val="0"/>
        <w:snapToGrid/>
        <w:spacing w:beforeAutospacing="0" w:afterAutospacing="0" w:line="600" w:lineRule="exact"/>
        <w:ind w:left="0" w:leftChars="0" w:right="0" w:firstLine="640" w:firstLineChars="200"/>
        <w:jc w:val="both"/>
        <w:textAlignment w:val="auto"/>
        <w:rPr>
          <w:rFonts w:hint="default" w:ascii="Times New Roman" w:hAnsi="Times New Roman" w:eastAsia="仿宋_GB2312" w:cs="Times New Roman"/>
          <w:snapToGrid/>
          <w:color w:val="auto"/>
          <w:kern w:val="2"/>
          <w:sz w:val="32"/>
          <w:szCs w:val="32"/>
          <w:highlight w:val="none"/>
          <w:lang w:eastAsia="zh-CN"/>
        </w:rPr>
      </w:pPr>
    </w:p>
    <w:p w14:paraId="285EE528">
      <w:pPr>
        <w:keepNext w:val="0"/>
        <w:keepLines w:val="0"/>
        <w:pageBreakBefore w:val="0"/>
        <w:widowControl w:val="0"/>
        <w:tabs>
          <w:tab w:val="left" w:pos="4620"/>
        </w:tabs>
        <w:kinsoku/>
        <w:wordWrap/>
        <w:overflowPunct/>
        <w:topLinePunct/>
        <w:autoSpaceDE/>
        <w:autoSpaceDN/>
        <w:bidi w:val="0"/>
        <w:adjustRightInd w:val="0"/>
        <w:snapToGrid/>
        <w:spacing w:beforeAutospacing="0" w:afterAutospacing="0" w:line="600" w:lineRule="exact"/>
        <w:ind w:left="0" w:leftChars="0" w:right="0" w:firstLine="640" w:firstLineChars="200"/>
        <w:jc w:val="both"/>
        <w:textAlignment w:val="auto"/>
        <w:rPr>
          <w:rFonts w:hint="default" w:ascii="Times New Roman" w:hAnsi="Times New Roman" w:eastAsia="仿宋_GB2312" w:cs="Times New Roman"/>
          <w:snapToGrid/>
          <w:color w:val="auto"/>
          <w:kern w:val="2"/>
          <w:sz w:val="32"/>
          <w:szCs w:val="32"/>
          <w:highlight w:val="none"/>
          <w:lang w:eastAsia="zh-CN"/>
        </w:rPr>
      </w:pPr>
    </w:p>
    <w:p w14:paraId="6BFA21C3">
      <w:pPr>
        <w:keepNext w:val="0"/>
        <w:keepLines w:val="0"/>
        <w:pageBreakBefore w:val="0"/>
        <w:widowControl w:val="0"/>
        <w:kinsoku/>
        <w:wordWrap/>
        <w:overflowPunct/>
        <w:topLinePunct/>
        <w:autoSpaceDE/>
        <w:autoSpaceDN/>
        <w:bidi w:val="0"/>
        <w:adjustRightInd w:val="0"/>
        <w:snapToGrid w:val="0"/>
        <w:spacing w:beforeAutospacing="0" w:afterAutospacing="0" w:line="600" w:lineRule="exact"/>
        <w:ind w:left="0" w:leftChars="0" w:right="0" w:firstLine="640" w:firstLineChars="200"/>
        <w:jc w:val="center"/>
        <w:textAlignment w:val="auto"/>
        <w:rPr>
          <w:rFonts w:hint="default" w:ascii="Times New Roman" w:hAnsi="Times New Roman" w:eastAsia="仿宋_GB2312" w:cs="Times New Roman"/>
          <w:snapToGrid/>
          <w:color w:val="auto"/>
          <w:kern w:val="2"/>
          <w:sz w:val="32"/>
          <w:szCs w:val="28"/>
          <w:highlight w:val="none"/>
          <w:lang w:eastAsia="zh-CN"/>
        </w:rPr>
      </w:pPr>
      <w:r>
        <w:rPr>
          <w:rFonts w:hint="default" w:ascii="Times New Roman" w:hAnsi="Times New Roman" w:eastAsia="仿宋_GB2312" w:cs="Times New Roman"/>
          <w:snapToGrid/>
          <w:color w:val="auto"/>
          <w:kern w:val="2"/>
          <w:sz w:val="32"/>
          <w:szCs w:val="28"/>
          <w:highlight w:val="none"/>
          <w:lang w:eastAsia="zh-CN"/>
        </w:rPr>
        <w:t xml:space="preserve">                     温州理工学院</w:t>
      </w:r>
    </w:p>
    <w:p w14:paraId="4C850D6A">
      <w:pPr>
        <w:keepNext w:val="0"/>
        <w:keepLines w:val="0"/>
        <w:pageBreakBefore w:val="0"/>
        <w:widowControl w:val="0"/>
        <w:kinsoku/>
        <w:wordWrap/>
        <w:overflowPunct/>
        <w:topLinePunct/>
        <w:autoSpaceDE/>
        <w:autoSpaceDN/>
        <w:bidi w:val="0"/>
        <w:adjustRightInd w:val="0"/>
        <w:snapToGrid w:val="0"/>
        <w:spacing w:beforeAutospacing="0" w:afterAutospacing="0" w:line="600" w:lineRule="exact"/>
        <w:ind w:left="0" w:leftChars="0" w:right="0" w:firstLine="640" w:firstLineChars="200"/>
        <w:jc w:val="center"/>
        <w:textAlignment w:val="auto"/>
        <w:rPr>
          <w:rFonts w:hint="default" w:ascii="Times New Roman" w:hAnsi="Times New Roman" w:eastAsia="仿宋_GB2312" w:cs="Times New Roman"/>
          <w:snapToGrid/>
          <w:color w:val="auto"/>
          <w:kern w:val="2"/>
          <w:sz w:val="32"/>
          <w:szCs w:val="28"/>
          <w:highlight w:val="none"/>
          <w:lang w:eastAsia="zh-CN"/>
        </w:rPr>
      </w:pPr>
      <w:r>
        <w:rPr>
          <w:rFonts w:hint="default" w:ascii="Times New Roman" w:hAnsi="Times New Roman" w:eastAsia="仿宋_GB2312" w:cs="Times New Roman"/>
          <w:snapToGrid/>
          <w:color w:val="auto"/>
          <w:kern w:val="2"/>
          <w:sz w:val="32"/>
          <w:szCs w:val="28"/>
          <w:highlight w:val="none"/>
          <w:lang w:eastAsia="zh-CN"/>
        </w:rPr>
        <w:t xml:space="preserve">                      202</w:t>
      </w:r>
      <w:r>
        <w:rPr>
          <w:rFonts w:hint="default" w:ascii="Times New Roman" w:hAnsi="Times New Roman" w:eastAsia="仿宋_GB2312" w:cs="Times New Roman"/>
          <w:snapToGrid/>
          <w:color w:val="auto"/>
          <w:kern w:val="2"/>
          <w:sz w:val="32"/>
          <w:szCs w:val="28"/>
          <w:highlight w:val="none"/>
          <w:lang w:val="en-US" w:eastAsia="zh-CN"/>
        </w:rPr>
        <w:t>6</w:t>
      </w:r>
      <w:r>
        <w:rPr>
          <w:rFonts w:hint="default" w:ascii="Times New Roman" w:hAnsi="Times New Roman" w:eastAsia="仿宋_GB2312" w:cs="Times New Roman"/>
          <w:snapToGrid/>
          <w:color w:val="auto"/>
          <w:kern w:val="2"/>
          <w:sz w:val="32"/>
          <w:szCs w:val="28"/>
          <w:highlight w:val="none"/>
          <w:lang w:eastAsia="zh-CN"/>
        </w:rPr>
        <w:t>年</w:t>
      </w:r>
      <w:r>
        <w:rPr>
          <w:rFonts w:hint="default" w:ascii="Times New Roman" w:hAnsi="Times New Roman" w:eastAsia="仿宋_GB2312" w:cs="Times New Roman"/>
          <w:snapToGrid/>
          <w:color w:val="auto"/>
          <w:kern w:val="2"/>
          <w:sz w:val="32"/>
          <w:szCs w:val="28"/>
          <w:highlight w:val="none"/>
          <w:lang w:val="en-US" w:eastAsia="zh-CN"/>
        </w:rPr>
        <w:t>5</w:t>
      </w:r>
      <w:r>
        <w:rPr>
          <w:rFonts w:hint="default" w:ascii="Times New Roman" w:hAnsi="Times New Roman" w:eastAsia="仿宋_GB2312" w:cs="Times New Roman"/>
          <w:snapToGrid/>
          <w:color w:val="auto"/>
          <w:kern w:val="2"/>
          <w:sz w:val="32"/>
          <w:szCs w:val="28"/>
          <w:highlight w:val="none"/>
          <w:lang w:eastAsia="zh-CN"/>
        </w:rPr>
        <w:t>月</w:t>
      </w:r>
      <w:r>
        <w:rPr>
          <w:rFonts w:hint="eastAsia" w:ascii="Times New Roman" w:hAnsi="Times New Roman" w:eastAsia="仿宋_GB2312" w:cs="Times New Roman"/>
          <w:snapToGrid/>
          <w:color w:val="auto"/>
          <w:kern w:val="2"/>
          <w:sz w:val="32"/>
          <w:szCs w:val="28"/>
          <w:highlight w:val="none"/>
          <w:lang w:val="en-US" w:eastAsia="zh-CN"/>
        </w:rPr>
        <w:t>19</w:t>
      </w:r>
      <w:r>
        <w:rPr>
          <w:rFonts w:hint="default" w:ascii="Times New Roman" w:hAnsi="Times New Roman" w:eastAsia="仿宋_GB2312" w:cs="Times New Roman"/>
          <w:snapToGrid/>
          <w:color w:val="auto"/>
          <w:kern w:val="2"/>
          <w:sz w:val="32"/>
          <w:szCs w:val="28"/>
          <w:highlight w:val="none"/>
          <w:lang w:eastAsia="zh-CN"/>
        </w:rPr>
        <w:t>日</w:t>
      </w:r>
    </w:p>
    <w:p w14:paraId="1124F8F4">
      <w:pPr>
        <w:keepNext w:val="0"/>
        <w:keepLines w:val="0"/>
        <w:pageBreakBefore w:val="0"/>
        <w:widowControl w:val="0"/>
        <w:kinsoku/>
        <w:wordWrap/>
        <w:overflowPunct/>
        <w:topLinePunct/>
        <w:autoSpaceDE/>
        <w:autoSpaceDN/>
        <w:bidi w:val="0"/>
        <w:adjustRightInd w:val="0"/>
        <w:snapToGrid w:val="0"/>
        <w:spacing w:beforeAutospacing="0" w:afterAutospacing="0" w:line="600" w:lineRule="exact"/>
        <w:ind w:left="0" w:leftChars="0" w:right="0" w:firstLine="640" w:firstLineChars="200"/>
        <w:jc w:val="center"/>
        <w:textAlignment w:val="auto"/>
        <w:rPr>
          <w:rFonts w:hint="default" w:ascii="Times New Roman" w:hAnsi="Times New Roman" w:eastAsia="仿宋_GB2312" w:cs="Times New Roman"/>
          <w:snapToGrid/>
          <w:color w:val="auto"/>
          <w:kern w:val="2"/>
          <w:sz w:val="32"/>
          <w:szCs w:val="28"/>
          <w:highlight w:val="none"/>
          <w:lang w:eastAsia="zh-CN"/>
        </w:rPr>
      </w:pPr>
    </w:p>
    <w:p w14:paraId="041BE7E8">
      <w:pPr>
        <w:keepNext w:val="0"/>
        <w:keepLines w:val="0"/>
        <w:pageBreakBefore w:val="0"/>
        <w:widowControl w:val="0"/>
        <w:kinsoku/>
        <w:wordWrap/>
        <w:overflowPunct/>
        <w:topLinePunct/>
        <w:autoSpaceDE/>
        <w:autoSpaceDN/>
        <w:bidi w:val="0"/>
        <w:adjustRightInd w:val="0"/>
        <w:snapToGrid w:val="0"/>
        <w:spacing w:beforeAutospacing="0" w:afterAutospacing="0" w:line="600" w:lineRule="exact"/>
        <w:ind w:left="0" w:leftChars="0" w:right="0" w:firstLine="640" w:firstLineChars="200"/>
        <w:jc w:val="center"/>
        <w:textAlignment w:val="auto"/>
        <w:rPr>
          <w:rFonts w:hint="default" w:ascii="Times New Roman" w:hAnsi="Times New Roman" w:eastAsia="仿宋_GB2312" w:cs="Times New Roman"/>
          <w:snapToGrid/>
          <w:color w:val="auto"/>
          <w:kern w:val="2"/>
          <w:sz w:val="32"/>
          <w:szCs w:val="28"/>
          <w:highlight w:val="none"/>
          <w:lang w:eastAsia="zh-CN"/>
        </w:rPr>
      </w:pPr>
    </w:p>
    <w:p w14:paraId="67B20ACC">
      <w:pPr>
        <w:rPr>
          <w:rFonts w:hint="default" w:ascii="Times New Roman" w:hAnsi="Times New Roman" w:eastAsia="方正小标宋_GBK" w:cs="Times New Roman"/>
          <w:snapToGrid w:val="0"/>
          <w:color w:val="000000"/>
          <w:kern w:val="44"/>
          <w:sz w:val="44"/>
          <w:szCs w:val="44"/>
          <w:lang w:bidi="ar"/>
        </w:rPr>
      </w:pPr>
      <w:r>
        <w:rPr>
          <w:rFonts w:hint="default" w:ascii="Times New Roman" w:hAnsi="Times New Roman" w:eastAsia="方正小标宋_GBK" w:cs="Times New Roman"/>
          <w:snapToGrid w:val="0"/>
          <w:color w:val="000000"/>
          <w:kern w:val="44"/>
          <w:sz w:val="44"/>
          <w:szCs w:val="44"/>
          <w:lang w:bidi="ar"/>
        </w:rPr>
        <w:br w:type="page"/>
      </w:r>
    </w:p>
    <w:p w14:paraId="4450302E">
      <w:pPr>
        <w:pageBreakBefore w:val="0"/>
        <w:widowControl w:val="0"/>
        <w:kinsoku/>
        <w:wordWrap/>
        <w:overflowPunct/>
        <w:topLinePunct w:val="0"/>
        <w:autoSpaceDE/>
        <w:autoSpaceDN/>
        <w:bidi w:val="0"/>
        <w:spacing w:line="600" w:lineRule="exact"/>
        <w:ind w:right="0"/>
        <w:jc w:val="center"/>
        <w:textAlignment w:val="auto"/>
        <w:rPr>
          <w:rFonts w:ascii="方正小标宋_GBK" w:hAnsi="宋体" w:eastAsia="方正小标宋_GBK" w:cs="Arial"/>
          <w:bCs/>
          <w:color w:val="000000"/>
          <w:kern w:val="0"/>
          <w:sz w:val="44"/>
          <w:szCs w:val="40"/>
        </w:rPr>
      </w:pPr>
      <w:r>
        <w:rPr>
          <w:rFonts w:hint="eastAsia" w:ascii="方正小标宋_GBK" w:hAnsi="宋体" w:eastAsia="方正小标宋_GBK" w:cs="Arial"/>
          <w:bCs/>
          <w:color w:val="000000"/>
          <w:kern w:val="0"/>
          <w:sz w:val="44"/>
          <w:szCs w:val="40"/>
        </w:rPr>
        <w:t>温州理工学院教材管理办法</w:t>
      </w:r>
    </w:p>
    <w:p w14:paraId="71A06CAF">
      <w:pPr>
        <w:pageBreakBefore w:val="0"/>
        <w:widowControl w:val="0"/>
        <w:kinsoku/>
        <w:wordWrap/>
        <w:overflowPunct/>
        <w:topLinePunct w:val="0"/>
        <w:autoSpaceDE/>
        <w:autoSpaceDN/>
        <w:bidi w:val="0"/>
        <w:spacing w:line="600" w:lineRule="exact"/>
        <w:ind w:right="0"/>
        <w:jc w:val="center"/>
        <w:textAlignment w:val="auto"/>
        <w:rPr>
          <w:rFonts w:hint="eastAsia" w:ascii="方正小标宋_GBK" w:hAnsi="宋体" w:eastAsia="方正小标宋_GBK" w:cs="Arial"/>
          <w:bCs/>
          <w:color w:val="000000"/>
          <w:kern w:val="0"/>
          <w:sz w:val="44"/>
          <w:szCs w:val="40"/>
          <w:lang w:eastAsia="zh-CN"/>
        </w:rPr>
      </w:pPr>
    </w:p>
    <w:p w14:paraId="17E8F138">
      <w:pPr>
        <w:keepNext/>
        <w:keepLines/>
        <w:pageBreakBefore w:val="0"/>
        <w:widowControl w:val="0"/>
        <w:numPr>
          <w:ilvl w:val="0"/>
          <w:numId w:val="1"/>
        </w:numPr>
        <w:kinsoku/>
        <w:wordWrap/>
        <w:overflowPunct/>
        <w:topLinePunct w:val="0"/>
        <w:autoSpaceDE/>
        <w:autoSpaceDN/>
        <w:bidi w:val="0"/>
        <w:spacing w:line="600" w:lineRule="exact"/>
        <w:ind w:left="0" w:right="0" w:firstLine="0"/>
        <w:jc w:val="center"/>
        <w:textAlignment w:val="auto"/>
        <w:outlineLvl w:val="0"/>
        <w:rPr>
          <w:rFonts w:hint="eastAsia" w:ascii="黑体" w:hAnsi="黑体" w:eastAsia="黑体" w:cs="黑体"/>
          <w:bCs/>
          <w:color w:val="000000"/>
          <w:kern w:val="44"/>
          <w:sz w:val="32"/>
          <w:szCs w:val="32"/>
          <w:lang w:val="en-US" w:eastAsia="zh-CN" w:bidi="ar-SA"/>
        </w:rPr>
      </w:pPr>
      <w:r>
        <w:rPr>
          <w:rFonts w:hint="eastAsia" w:ascii="黑体" w:hAnsi="黑体" w:eastAsia="黑体" w:cs="黑体"/>
          <w:bCs/>
          <w:color w:val="000000"/>
          <w:kern w:val="44"/>
          <w:sz w:val="32"/>
          <w:szCs w:val="32"/>
          <w:lang w:val="en-US" w:eastAsia="zh-CN" w:bidi="ar-SA"/>
        </w:rPr>
        <w:t xml:space="preserve"> 总  则</w:t>
      </w:r>
    </w:p>
    <w:p w14:paraId="517725DE">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为深入贯彻党中央、国务院关于加强和改进新形势下大中小学教材建设的意见，全面提升学校教材管理和建设水平，根据《普通高等学校教材管理办法》《浙江省普通高等学校教材管理实施细则》等文件精神，结合学校实际，制定本办法。</w:t>
      </w:r>
    </w:p>
    <w:p w14:paraId="15247EDF">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本办法所称教材是指学校建设或使用的教学用书（其中境外教材是指学校用于教学的境外原版图书，经授权在境内影印或翻译出版的图书），以及作为教材内容组成部分的教学材料（如教材的配套音视频资源、图册等）。</w:t>
      </w:r>
    </w:p>
    <w:p w14:paraId="56FA6381">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教材管理工作必须体现党和国家意志，坚持马克思主义指导地位，体现马克思主义中国化要求，体现中国和中华民族风格，体现党和国家对教育的基本要求，体现国家和民族基本价值观，体现人类文化知识积累和创新成果。全面贯彻党的教育方针，落实立德树人根本任务，扎根中国大地，站稳中国立场，充分体现社会主义核心价值观，加强爱国主义、集体主义、社会主义教育，引导学生坚定道路自信、理论自信、制度自信和文化自信，成为担当中华民族伟大复兴大任的时代新人。</w:t>
      </w:r>
    </w:p>
    <w:p w14:paraId="3059C538">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教材管理工作要紧紧围绕国家和省的重大战略，结合浙江省产业发展特色、高等教育发展目标、学科专业优势，以“提升质量、增强服务、强化特色”为发展理念，以建设具有浙江特色的精品教材为工作抓手，助力推进“高等教育强省”战略，为浙江省“两个高水平”和“重要窗口”建设培养更多高素质人才。</w:t>
      </w:r>
    </w:p>
    <w:p w14:paraId="36A349DB">
      <w:pPr>
        <w:keepNext/>
        <w:keepLines/>
        <w:pageBreakBefore w:val="0"/>
        <w:widowControl w:val="0"/>
        <w:numPr>
          <w:ilvl w:val="0"/>
          <w:numId w:val="1"/>
        </w:numPr>
        <w:kinsoku/>
        <w:wordWrap/>
        <w:overflowPunct/>
        <w:topLinePunct w:val="0"/>
        <w:autoSpaceDE/>
        <w:autoSpaceDN/>
        <w:bidi w:val="0"/>
        <w:spacing w:line="600" w:lineRule="exact"/>
        <w:ind w:left="0" w:right="0" w:firstLine="0"/>
        <w:jc w:val="center"/>
        <w:textAlignment w:val="auto"/>
        <w:outlineLvl w:val="0"/>
        <w:rPr>
          <w:rFonts w:hint="eastAsia" w:ascii="黑体" w:hAnsi="黑体" w:eastAsia="黑体" w:cs="黑体"/>
          <w:bCs/>
          <w:color w:val="000000"/>
          <w:kern w:val="44"/>
          <w:sz w:val="32"/>
          <w:szCs w:val="32"/>
          <w:lang w:val="en-US" w:eastAsia="zh-CN" w:bidi="ar-SA"/>
        </w:rPr>
      </w:pPr>
      <w:r>
        <w:rPr>
          <w:rFonts w:hint="eastAsia" w:ascii="黑体" w:hAnsi="黑体" w:eastAsia="黑体" w:cs="黑体"/>
          <w:bCs/>
          <w:color w:val="000000"/>
          <w:kern w:val="44"/>
          <w:sz w:val="32"/>
          <w:szCs w:val="32"/>
          <w:lang w:val="en-US" w:eastAsia="zh-CN" w:bidi="ar-SA"/>
        </w:rPr>
        <w:t xml:space="preserve"> 组织机构</w:t>
      </w:r>
    </w:p>
    <w:p w14:paraId="211B72CE">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学校教材实行校院两级管理。</w:t>
      </w:r>
    </w:p>
    <w:p w14:paraId="10339D4A">
      <w:pPr>
        <w:pageBreakBefore w:val="0"/>
        <w:widowControl w:val="0"/>
        <w:numPr>
          <w:ilvl w:val="0"/>
          <w:numId w:val="0"/>
        </w:numPr>
        <w:kinsoku/>
        <w:wordWrap/>
        <w:overflowPunct/>
        <w:topLinePunct w:val="0"/>
        <w:autoSpaceDE/>
        <w:autoSpaceDN/>
        <w:bidi w:val="0"/>
        <w:spacing w:line="600" w:lineRule="exact"/>
        <w:ind w:left="0" w:right="0" w:rightChars="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成立教材工作委员会，由校党委书记、校长担任主任，党委书记是第一责任人，分管学校本科教育、宣传和学科建设的校领导担任副主任，成员由相关职能部门负责人、学院书记、院长组成。学校教材工作委员会负责研究贯彻党和国家有关高等院校教材工作的重大方针政策；研究确定教材建设、编写和选用的规划；研究解决有关教材工作的重大问题；指导教材审核委员会的工作，并审议教材审核委员会的审核结果。</w:t>
      </w:r>
    </w:p>
    <w:p w14:paraId="4D1B7CDC">
      <w:pPr>
        <w:pageBreakBefore w:val="0"/>
        <w:widowControl w:val="0"/>
        <w:numPr>
          <w:ilvl w:val="0"/>
          <w:numId w:val="0"/>
        </w:numPr>
        <w:kinsoku/>
        <w:wordWrap/>
        <w:overflowPunct/>
        <w:topLinePunct w:val="0"/>
        <w:autoSpaceDE/>
        <w:autoSpaceDN/>
        <w:bidi w:val="0"/>
        <w:spacing w:line="600" w:lineRule="exact"/>
        <w:ind w:left="0" w:right="0" w:rightChars="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成立教材审核委员会，在学校教材工作委员会的指导下开展工作，由分管宣传、本科教育和学科建设的校领导担任主任委员，宣传部、教务处和科研处负责人担任副主任，成员由相关职能部门负责人、学院相关负责人组成。学校教材审核委员会负责落实教材工作委员会的决定；根据相关规定审核教材编写、修订、选用的政治方向、价值导向和科学质量；组织对重点教材的规划和审核；核查教材选用的规范，确保马克思主义理论研究和建设工程重点教材的统一使用，重点对哲学社会科学教材、境外教材的选用进行政治把关；对学校教材建设和选用工作进行监督检查和违规处理。</w:t>
      </w:r>
    </w:p>
    <w:p w14:paraId="381D5DD8">
      <w:pPr>
        <w:pageBreakBefore w:val="0"/>
        <w:widowControl w:val="0"/>
        <w:numPr>
          <w:ilvl w:val="0"/>
          <w:numId w:val="0"/>
        </w:numPr>
        <w:kinsoku/>
        <w:wordWrap/>
        <w:overflowPunct/>
        <w:topLinePunct w:val="0"/>
        <w:autoSpaceDE/>
        <w:autoSpaceDN/>
        <w:bidi w:val="0"/>
        <w:spacing w:line="600" w:lineRule="exact"/>
        <w:ind w:left="0" w:right="0" w:rightChars="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教材工作委员会和教材审核工作委员会办公室设在教务处，由教务处负责教材工作的具体组织和协调落实。</w:t>
      </w:r>
    </w:p>
    <w:p w14:paraId="11E4B80D">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各教学单位党委对本单位教材工作总负责。成立教学单位教材工作领导小组，落实学校相关政策，负责本单位的教材规划、编写、修订、引进、选用、评价和检查等工作。党组织书记是第一责任人，按照“党政同责”原则，党政主要负责人承担本单位教材管理工作领导责任，教材工作领导小组成员协助落实相关工作。</w:t>
      </w:r>
    </w:p>
    <w:p w14:paraId="597E4D52">
      <w:pPr>
        <w:keepNext/>
        <w:keepLines/>
        <w:pageBreakBefore w:val="0"/>
        <w:widowControl w:val="0"/>
        <w:numPr>
          <w:ilvl w:val="0"/>
          <w:numId w:val="1"/>
        </w:numPr>
        <w:kinsoku/>
        <w:wordWrap/>
        <w:overflowPunct/>
        <w:topLinePunct w:val="0"/>
        <w:autoSpaceDE/>
        <w:autoSpaceDN/>
        <w:bidi w:val="0"/>
        <w:spacing w:line="600" w:lineRule="exact"/>
        <w:ind w:left="0" w:right="0" w:firstLine="0"/>
        <w:jc w:val="center"/>
        <w:textAlignment w:val="auto"/>
        <w:outlineLvl w:val="0"/>
        <w:rPr>
          <w:rFonts w:hint="eastAsia" w:ascii="黑体" w:hAnsi="黑体" w:eastAsia="黑体" w:cs="黑体"/>
          <w:bCs/>
          <w:color w:val="000000"/>
          <w:kern w:val="44"/>
          <w:sz w:val="32"/>
          <w:szCs w:val="32"/>
          <w:lang w:val="en-US" w:eastAsia="zh-CN" w:bidi="ar-SA"/>
        </w:rPr>
      </w:pPr>
      <w:r>
        <w:rPr>
          <w:rFonts w:hint="eastAsia" w:ascii="黑体" w:hAnsi="黑体" w:eastAsia="黑体" w:cs="黑体"/>
          <w:bCs/>
          <w:color w:val="000000"/>
          <w:kern w:val="44"/>
          <w:sz w:val="32"/>
          <w:szCs w:val="32"/>
          <w:lang w:val="en-US" w:eastAsia="zh-CN" w:bidi="ar-SA"/>
        </w:rPr>
        <w:t>教材规划</w:t>
      </w:r>
    </w:p>
    <w:p w14:paraId="5F4E33E6">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学校实行校院两级教材规划制度。校、院规划应有效衔接、各有侧重，主动对接国家和省级教材建设规划，适应学校人才培养和教学需要。</w:t>
      </w:r>
    </w:p>
    <w:p w14:paraId="33063971">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根据专业人才培养目标和学科特色优势，制定教材建设规划，以</w:t>
      </w:r>
      <w:r>
        <w:rPr>
          <w:rFonts w:hint="eastAsia" w:ascii="Times New Roman" w:hAnsi="Times New Roman" w:eastAsia="仿宋_GB2312" w:cs="仿宋_GB2312"/>
          <w:color w:val="000000"/>
          <w:kern w:val="2"/>
          <w:sz w:val="32"/>
          <w:szCs w:val="32"/>
          <w:lang w:val="en-US" w:eastAsia="zh-CN" w:bidi="ar-SA"/>
        </w:rPr>
        <w:t>3</w:t>
      </w:r>
      <w:r>
        <w:rPr>
          <w:rFonts w:hint="eastAsia" w:ascii="仿宋_GB2312" w:hAnsi="仿宋_GB2312" w:eastAsia="仿宋_GB2312" w:cs="仿宋_GB2312"/>
          <w:color w:val="000000"/>
          <w:kern w:val="2"/>
          <w:sz w:val="32"/>
          <w:szCs w:val="32"/>
          <w:lang w:val="en-US" w:eastAsia="zh-CN" w:bidi="ar-SA"/>
        </w:rPr>
        <w:t>年为核心周期，每年开展一次规划动态调整，紧密对接浙江省产业发展战略与行业需求，将教材建设纳入人才培养、学科建设考核内容。</w:t>
      </w:r>
    </w:p>
    <w:p w14:paraId="67523BBD">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教师编写教材须依据学校教材建设规划，以及学科专业或课程教学标准，服务学校教育教学改革和人才培养。学校鼓励和支持教师重点编写</w:t>
      </w:r>
      <w:r>
        <w:rPr>
          <w:rFonts w:hint="eastAsia" w:ascii="仿宋_GB2312" w:hAnsi="仿宋_GB2312" w:eastAsia="仿宋_GB2312" w:cs="仿宋_GB2312"/>
          <w:color w:val="000000"/>
          <w:kern w:val="0"/>
          <w:sz w:val="32"/>
          <w:szCs w:val="32"/>
          <w:lang w:val="en-US" w:eastAsia="zh-CN" w:bidi="ar-SA"/>
        </w:rPr>
        <w:t>德育统编教材、专业核心课程教材，以及适应国家和省发展战略需求的相关学科紧缺教材，组织建设人工智能与教育教学深度融合的新形态教材</w:t>
      </w:r>
      <w:r>
        <w:rPr>
          <w:rFonts w:hint="eastAsia" w:ascii="仿宋_GB2312" w:hAnsi="仿宋_GB2312" w:eastAsia="仿宋_GB2312" w:cs="仿宋_GB2312"/>
          <w:color w:val="000000"/>
          <w:kern w:val="2"/>
          <w:sz w:val="32"/>
          <w:szCs w:val="32"/>
          <w:lang w:val="en-US" w:eastAsia="zh-CN" w:bidi="ar-SA"/>
        </w:rPr>
        <w:t>。</w:t>
      </w:r>
    </w:p>
    <w:p w14:paraId="17E05CDA">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学校开展重点教材立项建设，对获立项的教材予以资助。学校鼓励和支持课程思政建设成效显著、有特色的高水平教材参加省级、国家级重点教材、规划教材、精品教材评审，以及教材奖励评选。</w:t>
      </w:r>
    </w:p>
    <w:p w14:paraId="42D726AB">
      <w:pPr>
        <w:keepNext/>
        <w:keepLines/>
        <w:pageBreakBefore w:val="0"/>
        <w:widowControl w:val="0"/>
        <w:numPr>
          <w:ilvl w:val="0"/>
          <w:numId w:val="1"/>
        </w:numPr>
        <w:kinsoku/>
        <w:wordWrap/>
        <w:overflowPunct/>
        <w:topLinePunct w:val="0"/>
        <w:autoSpaceDE/>
        <w:autoSpaceDN/>
        <w:bidi w:val="0"/>
        <w:spacing w:line="600" w:lineRule="exact"/>
        <w:ind w:left="0" w:right="0" w:firstLine="0"/>
        <w:jc w:val="center"/>
        <w:textAlignment w:val="auto"/>
        <w:outlineLvl w:val="0"/>
        <w:rPr>
          <w:rFonts w:hint="eastAsia" w:ascii="黑体" w:hAnsi="黑体" w:eastAsia="黑体" w:cs="黑体"/>
          <w:bCs/>
          <w:color w:val="000000"/>
          <w:kern w:val="44"/>
          <w:sz w:val="32"/>
          <w:szCs w:val="32"/>
          <w:lang w:val="en-US" w:eastAsia="zh-CN" w:bidi="ar-SA"/>
        </w:rPr>
      </w:pPr>
      <w:r>
        <w:rPr>
          <w:rFonts w:hint="eastAsia" w:ascii="黑体" w:hAnsi="黑体" w:eastAsia="黑体" w:cs="黑体"/>
          <w:bCs/>
          <w:color w:val="000000"/>
          <w:kern w:val="44"/>
          <w:sz w:val="32"/>
          <w:szCs w:val="32"/>
          <w:lang w:val="en-US" w:eastAsia="zh-CN" w:bidi="ar-SA"/>
        </w:rPr>
        <w:t xml:space="preserve"> 教材编写</w:t>
      </w:r>
    </w:p>
    <w:p w14:paraId="169ECFA4">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b/>
          <w:color w:val="000000"/>
          <w:kern w:val="2"/>
          <w:sz w:val="32"/>
          <w:szCs w:val="32"/>
          <w:lang w:val="zh-TW" w:eastAsia="zh-CN" w:bidi="ar-SA"/>
        </w:rPr>
      </w:pPr>
      <w:r>
        <w:rPr>
          <w:rFonts w:hint="eastAsia" w:ascii="仿宋_GB2312" w:hAnsi="仿宋_GB2312" w:eastAsia="仿宋_GB2312" w:cs="仿宋_GB2312"/>
          <w:color w:val="000000"/>
          <w:kern w:val="2"/>
          <w:sz w:val="32"/>
          <w:szCs w:val="32"/>
          <w:lang w:val="en-US" w:eastAsia="zh-CN" w:bidi="ar-SA"/>
        </w:rPr>
        <w:t>教材编写依据教材建设规划以及学科专业或课程教学标准，服务学校教学改革和人才培养，教材编写必须保证教材内容的思想性、科学性和先进性，具有较强的系统性和教学适用性。</w:t>
      </w:r>
    </w:p>
    <w:p w14:paraId="1452F82B">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TW" w:bidi="ar-SA"/>
        </w:rPr>
      </w:pPr>
      <w:r>
        <w:rPr>
          <w:rFonts w:hint="eastAsia" w:ascii="仿宋_GB2312" w:hAnsi="仿宋_GB2312" w:eastAsia="仿宋_GB2312" w:cs="仿宋_GB2312"/>
          <w:color w:val="000000"/>
          <w:kern w:val="2"/>
          <w:sz w:val="32"/>
          <w:szCs w:val="32"/>
          <w:lang w:val="zh-TW" w:eastAsia="zh-CN" w:bidi="ar-SA"/>
        </w:rPr>
        <w:t>教材编写应当结合浙江省高等教育发展目标及需求，着力培育、打造一批全国领先、使用广泛的精品教材。</w:t>
      </w:r>
    </w:p>
    <w:p w14:paraId="655216D1">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highlight w:val="none"/>
          <w:lang w:val="en-US" w:eastAsia="zh-CN" w:bidi="ar-SA"/>
        </w:rPr>
      </w:pPr>
      <w:r>
        <w:rPr>
          <w:rFonts w:hint="eastAsia" w:ascii="仿宋_GB2312" w:hAnsi="仿宋_GB2312" w:eastAsia="仿宋_GB2312" w:cs="仿宋_GB2312"/>
          <w:color w:val="000000"/>
          <w:kern w:val="2"/>
          <w:sz w:val="32"/>
          <w:szCs w:val="32"/>
          <w:lang w:val="en-US" w:eastAsia="zh-CN" w:bidi="ar-SA"/>
        </w:rPr>
        <w:t>教材编写人员在编写工作开始前，应经所在单位党组织审核同意，由所在单位公示、报教务处备案</w:t>
      </w:r>
      <w:r>
        <w:rPr>
          <w:rFonts w:hint="eastAsia" w:ascii="仿宋_GB2312" w:hAnsi="仿宋_GB2312" w:eastAsia="仿宋_GB2312" w:cs="仿宋_GB2312"/>
          <w:color w:val="000000"/>
          <w:kern w:val="2"/>
          <w:sz w:val="32"/>
          <w:szCs w:val="32"/>
          <w:highlight w:val="none"/>
          <w:lang w:val="en-US" w:eastAsia="zh-CN" w:bidi="ar-SA"/>
        </w:rPr>
        <w:t>。编写人员应符合以下基本条件：</w:t>
      </w:r>
    </w:p>
    <w:p w14:paraId="6490E92E">
      <w:pPr>
        <w:pageBreakBefore w:val="0"/>
        <w:widowControl w:val="0"/>
        <w:kinsoku/>
        <w:wordWrap/>
        <w:overflowPunct/>
        <w:topLinePunct w:val="0"/>
        <w:autoSpaceDE/>
        <w:autoSpaceDN/>
        <w:bidi w:val="0"/>
        <w:adjustRightInd w:val="0"/>
        <w:snapToGrid w:val="0"/>
        <w:spacing w:line="600" w:lineRule="exact"/>
        <w:ind w:right="0" w:firstLine="575" w:firstLineChars="179"/>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（一）</w:t>
      </w:r>
      <w:r>
        <w:rPr>
          <w:rFonts w:hint="eastAsia" w:ascii="仿宋_GB2312" w:hAnsi="仿宋_GB2312" w:eastAsia="仿宋_GB2312" w:cs="仿宋_GB2312"/>
          <w:color w:val="000000"/>
          <w:sz w:val="32"/>
          <w:szCs w:val="32"/>
        </w:rPr>
        <w:t>政治立场坚定，</w:t>
      </w:r>
      <w:r>
        <w:rPr>
          <w:rFonts w:hint="eastAsia" w:ascii="仿宋_GB2312" w:hAnsi="仿宋_GB2312" w:eastAsia="仿宋_GB2312" w:cs="仿宋_GB2312"/>
          <w:color w:val="000000"/>
          <w:sz w:val="32"/>
          <w:szCs w:val="32"/>
          <w:lang w:eastAsia="zh-CN"/>
        </w:rPr>
        <w:t>拥护中国共产党领导</w:t>
      </w:r>
      <w:r>
        <w:rPr>
          <w:rFonts w:hint="eastAsia" w:ascii="仿宋_GB2312" w:hAnsi="仿宋_GB2312" w:eastAsia="仿宋_GB2312" w:cs="仿宋_GB2312"/>
          <w:color w:val="000000"/>
          <w:sz w:val="32"/>
          <w:szCs w:val="32"/>
        </w:rPr>
        <w:t>，认同中国特色社会主义，</w:t>
      </w:r>
      <w:r>
        <w:rPr>
          <w:rFonts w:hint="eastAsia" w:ascii="仿宋_GB2312" w:hAnsi="仿宋_GB2312" w:eastAsia="仿宋_GB2312" w:cs="仿宋_GB2312"/>
          <w:color w:val="000000"/>
          <w:sz w:val="32"/>
          <w:szCs w:val="32"/>
          <w:lang w:eastAsia="zh-CN"/>
        </w:rPr>
        <w:t>坚定“四个自信”，</w:t>
      </w:r>
      <w:r>
        <w:rPr>
          <w:rFonts w:hint="eastAsia" w:ascii="仿宋_GB2312" w:hAnsi="仿宋_GB2312" w:eastAsia="仿宋_GB2312" w:cs="仿宋_GB2312"/>
          <w:color w:val="000000"/>
          <w:sz w:val="32"/>
          <w:szCs w:val="32"/>
        </w:rPr>
        <w:t>自觉践行社会主义核心价值观，具有正确的世界观、人生观、价值观，坚持正确的国家观、民族观、历史观、文化观、宗教观，没有违背党的理论和路线方针政策的言行。</w:t>
      </w:r>
    </w:p>
    <w:p w14:paraId="1FD7E995">
      <w:pPr>
        <w:pageBreakBefore w:val="0"/>
        <w:widowControl w:val="0"/>
        <w:kinsoku/>
        <w:wordWrap/>
        <w:overflowPunct/>
        <w:topLinePunct w:val="0"/>
        <w:autoSpaceDE/>
        <w:autoSpaceDN/>
        <w:bidi w:val="0"/>
        <w:adjustRightInd w:val="0"/>
        <w:snapToGrid w:val="0"/>
        <w:spacing w:line="600" w:lineRule="exact"/>
        <w:ind w:right="0" w:firstLine="575" w:firstLineChars="179"/>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（二）</w:t>
      </w:r>
      <w:r>
        <w:rPr>
          <w:rFonts w:hint="eastAsia" w:ascii="仿宋_GB2312" w:hAnsi="仿宋_GB2312" w:eastAsia="仿宋_GB2312" w:cs="仿宋_GB2312"/>
          <w:color w:val="000000"/>
          <w:sz w:val="32"/>
          <w:szCs w:val="32"/>
        </w:rPr>
        <w:t>学术功底扎实，学术水平高，学风严谨，一般应当具有高级专业技术职务。熟悉高等教育教学实际，了解人才培养规律。了解教材编写工作，文字表达能力强。有丰富的教学、科研经验，新兴学科、紧缺专业可适当放宽要求。</w:t>
      </w:r>
    </w:p>
    <w:p w14:paraId="50EFD9BA">
      <w:pPr>
        <w:pageBreakBefore w:val="0"/>
        <w:widowControl w:val="0"/>
        <w:kinsoku/>
        <w:wordWrap/>
        <w:overflowPunct/>
        <w:topLinePunct w:val="0"/>
        <w:autoSpaceDE/>
        <w:autoSpaceDN/>
        <w:bidi w:val="0"/>
        <w:adjustRightInd w:val="0"/>
        <w:snapToGrid w:val="0"/>
        <w:spacing w:line="600" w:lineRule="exact"/>
        <w:ind w:right="0" w:firstLine="575" w:firstLineChars="179"/>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（三）</w:t>
      </w:r>
      <w:r>
        <w:rPr>
          <w:rFonts w:hint="eastAsia" w:ascii="仿宋_GB2312" w:hAnsi="仿宋_GB2312" w:eastAsia="仿宋_GB2312" w:cs="仿宋_GB2312"/>
          <w:color w:val="000000"/>
          <w:sz w:val="32"/>
          <w:szCs w:val="32"/>
        </w:rPr>
        <w:t>遵纪守法，有良好的思想品德、社会形象和师德师风。</w:t>
      </w:r>
    </w:p>
    <w:p w14:paraId="424BE53D">
      <w:pPr>
        <w:pageBreakBefore w:val="0"/>
        <w:widowControl w:val="0"/>
        <w:kinsoku/>
        <w:wordWrap/>
        <w:overflowPunct/>
        <w:topLinePunct w:val="0"/>
        <w:autoSpaceDE/>
        <w:autoSpaceDN/>
        <w:bidi w:val="0"/>
        <w:spacing w:line="600" w:lineRule="exact"/>
        <w:ind w:right="0"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（四）</w:t>
      </w:r>
      <w:r>
        <w:rPr>
          <w:rFonts w:hint="eastAsia" w:ascii="仿宋_GB2312" w:hAnsi="仿宋_GB2312" w:eastAsia="仿宋_GB2312" w:cs="仿宋_GB2312"/>
          <w:color w:val="000000"/>
          <w:sz w:val="32"/>
          <w:szCs w:val="32"/>
        </w:rPr>
        <w:t>有足够时间和精力从事教材编写修订工作。</w:t>
      </w:r>
    </w:p>
    <w:p w14:paraId="042316E6">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bookmarkStart w:id="0" w:name="_Ref85980269"/>
      <w:r>
        <w:rPr>
          <w:rFonts w:hint="eastAsia" w:ascii="仿宋_GB2312" w:hAnsi="仿宋_GB2312" w:eastAsia="仿宋_GB2312" w:cs="仿宋_GB2312"/>
          <w:color w:val="000000"/>
          <w:kern w:val="2"/>
          <w:sz w:val="32"/>
          <w:szCs w:val="32"/>
          <w:lang w:val="en-US" w:eastAsia="zh-CN" w:bidi="ar-SA"/>
        </w:rPr>
        <w:t>教材编写实行主编负责制。主编主持编写工作并负责统稿，对教材总体质量负责，参编人员对所编写内容负责。专家学者个人编写的教材，由编写者对教材质量负全责。主编须符合本办法</w:t>
      </w:r>
      <w:r>
        <w:rPr>
          <w:rFonts w:hint="eastAsia" w:ascii="仿宋_GB2312" w:hAnsi="仿宋_GB2312" w:eastAsia="仿宋_GB2312" w:cs="仿宋_GB2312"/>
          <w:color w:val="000000"/>
          <w:kern w:val="2"/>
          <w:sz w:val="32"/>
          <w:szCs w:val="32"/>
          <w:lang w:val="en-US" w:eastAsia="zh-CN" w:bidi="ar-SA"/>
        </w:rPr>
        <w:fldChar w:fldCharType="begin"/>
      </w:r>
      <w:r>
        <w:rPr>
          <w:rFonts w:hint="eastAsia" w:ascii="仿宋_GB2312" w:hAnsi="仿宋_GB2312" w:eastAsia="仿宋_GB2312" w:cs="仿宋_GB2312"/>
          <w:color w:val="000000"/>
          <w:kern w:val="2"/>
          <w:sz w:val="32"/>
          <w:szCs w:val="32"/>
          <w:lang w:val="en-US" w:eastAsia="zh-CN" w:bidi="ar-SA"/>
        </w:rPr>
        <w:instrText xml:space="preserve"> REF _Ref85980269 \r \h  \* MERGEFORMAT </w:instrText>
      </w:r>
      <w:r>
        <w:rPr>
          <w:rFonts w:hint="eastAsia" w:ascii="仿宋_GB2312" w:hAnsi="仿宋_GB2312" w:eastAsia="仿宋_GB2312" w:cs="仿宋_GB2312"/>
          <w:color w:val="000000"/>
          <w:kern w:val="2"/>
          <w:sz w:val="32"/>
          <w:szCs w:val="32"/>
          <w:lang w:val="en-US" w:eastAsia="zh-CN" w:bidi="ar-SA"/>
        </w:rPr>
        <w:fldChar w:fldCharType="separate"/>
      </w:r>
      <w:r>
        <w:rPr>
          <w:rFonts w:hint="eastAsia" w:ascii="仿宋_GB2312" w:hAnsi="仿宋_GB2312" w:eastAsia="仿宋_GB2312" w:cs="仿宋_GB2312"/>
          <w:color w:val="000000"/>
          <w:kern w:val="2"/>
          <w:sz w:val="32"/>
          <w:szCs w:val="32"/>
          <w:lang w:val="en-US" w:eastAsia="zh-CN" w:bidi="ar-SA"/>
        </w:rPr>
        <w:t>第十四条</w:t>
      </w:r>
      <w:r>
        <w:rPr>
          <w:rFonts w:hint="eastAsia" w:ascii="仿宋_GB2312" w:hAnsi="仿宋_GB2312" w:eastAsia="仿宋_GB2312" w:cs="仿宋_GB2312"/>
          <w:color w:val="000000"/>
          <w:kern w:val="2"/>
          <w:sz w:val="32"/>
          <w:szCs w:val="32"/>
          <w:lang w:val="en-US" w:eastAsia="zh-CN" w:bidi="ar-SA"/>
        </w:rPr>
        <w:fldChar w:fldCharType="end"/>
      </w:r>
      <w:r>
        <w:rPr>
          <w:rFonts w:hint="eastAsia" w:ascii="仿宋_GB2312" w:hAnsi="仿宋_GB2312" w:eastAsia="仿宋_GB2312" w:cs="仿宋_GB2312"/>
          <w:color w:val="000000"/>
          <w:kern w:val="2"/>
          <w:sz w:val="32"/>
          <w:szCs w:val="32"/>
          <w:lang w:val="en-US" w:eastAsia="zh-CN" w:bidi="ar-SA"/>
        </w:rPr>
        <w:t>规定外，还需符合以下条件：</w:t>
      </w:r>
      <w:bookmarkEnd w:id="0"/>
    </w:p>
    <w:p w14:paraId="1EE42C65">
      <w:pPr>
        <w:pageBreakBefore w:val="0"/>
        <w:widowControl w:val="0"/>
        <w:kinsoku/>
        <w:wordWrap/>
        <w:overflowPunct/>
        <w:topLinePunct w:val="0"/>
        <w:autoSpaceDE/>
        <w:autoSpaceDN/>
        <w:bidi w:val="0"/>
        <w:adjustRightInd w:val="0"/>
        <w:snapToGrid w:val="0"/>
        <w:spacing w:line="600" w:lineRule="exact"/>
        <w:ind w:right="0"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（一）</w:t>
      </w:r>
      <w:r>
        <w:rPr>
          <w:rFonts w:hint="eastAsia" w:ascii="仿宋_GB2312" w:hAnsi="仿宋_GB2312" w:eastAsia="仿宋_GB2312" w:cs="仿宋_GB2312"/>
          <w:color w:val="000000"/>
          <w:sz w:val="32"/>
          <w:szCs w:val="32"/>
        </w:rPr>
        <w:t>坚持正确的学术导向，政治敏锐性强，能够辨别并抵制各种错误政治观点和思潮，自觉运用中国特色话语体系。</w:t>
      </w:r>
    </w:p>
    <w:p w14:paraId="44FF8BB5">
      <w:pPr>
        <w:pageBreakBefore w:val="0"/>
        <w:widowControl w:val="0"/>
        <w:kinsoku/>
        <w:wordWrap/>
        <w:overflowPunct/>
        <w:topLinePunct w:val="0"/>
        <w:autoSpaceDE/>
        <w:autoSpaceDN/>
        <w:bidi w:val="0"/>
        <w:adjustRightInd w:val="0"/>
        <w:snapToGrid w:val="0"/>
        <w:spacing w:line="600" w:lineRule="exact"/>
        <w:ind w:right="0" w:firstLine="57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（二）</w:t>
      </w:r>
      <w:r>
        <w:rPr>
          <w:rFonts w:hint="eastAsia" w:ascii="仿宋_GB2312" w:hAnsi="仿宋_GB2312" w:eastAsia="仿宋_GB2312" w:cs="仿宋_GB2312"/>
          <w:color w:val="000000"/>
          <w:sz w:val="32"/>
          <w:szCs w:val="32"/>
        </w:rPr>
        <w:t>具有高级专业技术职务，在本学科有深入研究和较高造诣，或为全国知名专家、学术领军人物，在相关教材或学科教学方面取得有影响的研究成果，熟悉教材编写工作，有丰富的教材编写经验。</w:t>
      </w:r>
    </w:p>
    <w:p w14:paraId="2976EB58">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教材须及时修订，原则上按学制周期修订，根据党的理论创新成果、科学技术最新突破、学术研究最新进展、教学使用反馈等，充实新的内容。及时淘汰内容陈旧、缺乏特色或难以修订的教材。</w:t>
      </w:r>
    </w:p>
    <w:p w14:paraId="2C44FCDB">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TW" w:bidi="ar-SA"/>
        </w:rPr>
      </w:pPr>
      <w:r>
        <w:rPr>
          <w:rFonts w:hint="eastAsia" w:ascii="仿宋_GB2312" w:hAnsi="仿宋_GB2312" w:eastAsia="仿宋_GB2312" w:cs="仿宋_GB2312"/>
          <w:color w:val="000000"/>
          <w:kern w:val="2"/>
          <w:sz w:val="32"/>
          <w:szCs w:val="32"/>
          <w:lang w:val="en-US" w:eastAsia="zh-CN" w:bidi="ar-SA"/>
        </w:rPr>
        <w:t>加强教材编写队伍建设，注重培育优秀编写人才；支持全国知名专家、学术领军人物、学术水平高且教学经验丰富的学科带头人、教学名师、优秀教师参加教材编写工作。加强与出版机构的协作，参与优秀教材选题遴选。</w:t>
      </w:r>
      <w:r>
        <w:rPr>
          <w:rFonts w:hint="eastAsia" w:ascii="仿宋_GB2312" w:hAnsi="仿宋_GB2312" w:eastAsia="仿宋_GB2312" w:cs="仿宋_GB2312"/>
          <w:color w:val="000000"/>
          <w:kern w:val="2"/>
          <w:sz w:val="32"/>
          <w:szCs w:val="32"/>
          <w:lang w:val="zh-TW" w:eastAsia="zh-TW" w:bidi="ar-SA"/>
        </w:rPr>
        <w:t>支持优秀教材走出去，扩大影响力。</w:t>
      </w:r>
    </w:p>
    <w:p w14:paraId="319A9BF0">
      <w:pPr>
        <w:keepNext/>
        <w:keepLines/>
        <w:pageBreakBefore w:val="0"/>
        <w:widowControl w:val="0"/>
        <w:numPr>
          <w:ilvl w:val="0"/>
          <w:numId w:val="1"/>
        </w:numPr>
        <w:kinsoku/>
        <w:wordWrap/>
        <w:overflowPunct/>
        <w:topLinePunct w:val="0"/>
        <w:autoSpaceDE/>
        <w:autoSpaceDN/>
        <w:bidi w:val="0"/>
        <w:spacing w:line="600" w:lineRule="exact"/>
        <w:ind w:left="0" w:right="0" w:firstLine="0"/>
        <w:jc w:val="center"/>
        <w:textAlignment w:val="auto"/>
        <w:outlineLvl w:val="0"/>
        <w:rPr>
          <w:rFonts w:hint="eastAsia" w:ascii="黑体" w:hAnsi="黑体" w:eastAsia="黑体" w:cs="黑体"/>
          <w:bCs/>
          <w:color w:val="000000"/>
          <w:kern w:val="44"/>
          <w:sz w:val="32"/>
          <w:szCs w:val="32"/>
          <w:lang w:val="en-US" w:eastAsia="zh-CN" w:bidi="ar-SA"/>
        </w:rPr>
      </w:pPr>
      <w:r>
        <w:rPr>
          <w:rFonts w:hint="eastAsia" w:ascii="黑体" w:hAnsi="黑体" w:eastAsia="黑体" w:cs="黑体"/>
          <w:bCs/>
          <w:color w:val="000000"/>
          <w:kern w:val="44"/>
          <w:sz w:val="32"/>
          <w:szCs w:val="32"/>
          <w:lang w:val="en-US" w:eastAsia="zh-CN" w:bidi="ar-SA"/>
        </w:rPr>
        <w:t xml:space="preserve"> 教材审核</w:t>
      </w:r>
    </w:p>
    <w:p w14:paraId="08644C86">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教材编写坚持“凡编必审”原则，教材审核工作由各教学单位教材工作领导小组负责。教材审核应符合以下要求：</w:t>
      </w:r>
    </w:p>
    <w:p w14:paraId="6AD76C88">
      <w:pPr>
        <w:pageBreakBefore w:val="0"/>
        <w:widowControl w:val="0"/>
        <w:kinsoku/>
        <w:wordWrap/>
        <w:overflowPunct/>
        <w:topLinePunct w:val="0"/>
        <w:autoSpaceDE/>
        <w:autoSpaceDN/>
        <w:bidi w:val="0"/>
        <w:spacing w:line="600" w:lineRule="exact"/>
        <w:ind w:right="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Times New Roman" w:hAnsi="Times New Roman" w:eastAsia="仿宋_GB2312" w:cs="仿宋_GB2312"/>
          <w:b w:val="0"/>
          <w:bCs w:val="0"/>
          <w:color w:val="000000"/>
          <w:sz w:val="32"/>
          <w:szCs w:val="32"/>
          <w:lang w:val="en-US" w:eastAsia="zh-CN"/>
        </w:rPr>
        <w:t>1</w:t>
      </w:r>
      <w:r>
        <w:rPr>
          <w:rFonts w:hint="eastAsia" w:ascii="仿宋_GB2312" w:hAnsi="仿宋_GB2312" w:eastAsia="仿宋_GB2312" w:cs="仿宋_GB2312"/>
          <w:b w:val="0"/>
          <w:bCs w:val="0"/>
          <w:color w:val="000000"/>
          <w:sz w:val="32"/>
          <w:szCs w:val="32"/>
          <w:lang w:val="en-US" w:eastAsia="zh-CN"/>
        </w:rPr>
        <w:t>.由我校教师担任主要编写人的教材，需在正式出版前，向本单位教材审核工作组提出审核申请，审核通过后方可出版。</w:t>
      </w:r>
    </w:p>
    <w:p w14:paraId="24E3F98A">
      <w:pPr>
        <w:pageBreakBefore w:val="0"/>
        <w:widowControl w:val="0"/>
        <w:kinsoku/>
        <w:wordWrap/>
        <w:overflowPunct/>
        <w:topLinePunct w:val="0"/>
        <w:autoSpaceDE/>
        <w:autoSpaceDN/>
        <w:bidi w:val="0"/>
        <w:spacing w:line="600" w:lineRule="exact"/>
        <w:ind w:right="0" w:firstLine="640" w:firstLineChars="200"/>
        <w:textAlignment w:val="auto"/>
        <w:rPr>
          <w:rFonts w:hint="eastAsia" w:ascii="仿宋_GB2312" w:hAnsi="仿宋_GB2312" w:eastAsia="仿宋_GB2312" w:cs="仿宋_GB2312"/>
          <w:color w:val="000000"/>
          <w:sz w:val="32"/>
          <w:szCs w:val="32"/>
        </w:rPr>
      </w:pPr>
      <w:r>
        <w:rPr>
          <w:rFonts w:hint="eastAsia" w:ascii="Times New Roman" w:hAnsi="Times New Roman" w:eastAsia="仿宋_GB2312" w:cs="仿宋_GB2312"/>
          <w:b w:val="0"/>
          <w:bCs w:val="0"/>
          <w:color w:val="000000"/>
          <w:sz w:val="32"/>
          <w:szCs w:val="32"/>
          <w:lang w:val="en-US" w:eastAsia="zh-CN"/>
        </w:rPr>
        <w:t>2</w:t>
      </w:r>
      <w:r>
        <w:rPr>
          <w:rFonts w:hint="eastAsia" w:ascii="仿宋_GB2312" w:hAnsi="仿宋_GB2312" w:eastAsia="仿宋_GB2312" w:cs="仿宋_GB2312"/>
          <w:b w:val="0"/>
          <w:bCs w:val="0"/>
          <w:color w:val="000000"/>
          <w:sz w:val="32"/>
          <w:szCs w:val="32"/>
          <w:lang w:val="en-US" w:eastAsia="zh-CN"/>
        </w:rPr>
        <w:t>.主编提出教材出版申请，所在教学单位教材管理工作小组组织专家进行全面审核，</w:t>
      </w:r>
      <w:r>
        <w:rPr>
          <w:rFonts w:hint="eastAsia" w:ascii="仿宋_GB2312" w:hAnsi="仿宋_GB2312" w:eastAsia="仿宋_GB2312" w:cs="仿宋_GB2312"/>
          <w:color w:val="000000"/>
          <w:sz w:val="32"/>
          <w:szCs w:val="32"/>
        </w:rPr>
        <w:t>每本教材审核专家人数应不少于</w:t>
      </w:r>
      <w:r>
        <w:rPr>
          <w:rFonts w:hint="eastAsia" w:ascii="Times New Roman" w:hAnsi="Times New Roman" w:eastAsia="仿宋_GB2312" w:cs="仿宋_GB2312"/>
          <w:color w:val="000000"/>
          <w:sz w:val="32"/>
          <w:szCs w:val="32"/>
        </w:rPr>
        <w:t>3</w:t>
      </w:r>
      <w:r>
        <w:rPr>
          <w:rFonts w:hint="eastAsia" w:ascii="仿宋_GB2312" w:hAnsi="仿宋_GB2312" w:eastAsia="仿宋_GB2312" w:cs="仿宋_GB2312"/>
          <w:color w:val="000000"/>
          <w:sz w:val="32"/>
          <w:szCs w:val="32"/>
        </w:rPr>
        <w:t>人，</w:t>
      </w:r>
      <w:r>
        <w:rPr>
          <w:rFonts w:hint="eastAsia" w:ascii="仿宋_GB2312" w:hAnsi="仿宋_GB2312" w:eastAsia="仿宋_GB2312" w:cs="仿宋_GB2312"/>
          <w:color w:val="000000"/>
          <w:sz w:val="32"/>
          <w:szCs w:val="32"/>
          <w:lang w:val="en-US" w:eastAsia="zh-CN"/>
        </w:rPr>
        <w:t>审核专家应</w:t>
      </w:r>
      <w:r>
        <w:rPr>
          <w:rFonts w:hint="eastAsia" w:ascii="仿宋_GB2312" w:hAnsi="仿宋_GB2312" w:eastAsia="仿宋_GB2312" w:cs="仿宋_GB2312"/>
          <w:color w:val="000000"/>
          <w:sz w:val="32"/>
          <w:szCs w:val="32"/>
        </w:rPr>
        <w:t>包括相关学科专业领域专家、一线教师、校外专家等，</w:t>
      </w:r>
      <w:r>
        <w:rPr>
          <w:rFonts w:hint="eastAsia" w:ascii="仿宋_GB2312" w:hAnsi="仿宋_GB2312" w:eastAsia="仿宋_GB2312" w:cs="仿宋_GB2312"/>
          <w:color w:val="000000"/>
          <w:sz w:val="32"/>
          <w:szCs w:val="32"/>
          <w:lang w:val="en-US" w:eastAsia="zh-CN"/>
        </w:rPr>
        <w:t>校外专家占比不低于三分之一，审核专家不得为教材编写团队成员</w:t>
      </w:r>
      <w:r>
        <w:rPr>
          <w:rFonts w:hint="eastAsia" w:ascii="仿宋_GB2312" w:hAnsi="仿宋_GB2312" w:eastAsia="仿宋_GB2312" w:cs="仿宋_GB2312"/>
          <w:color w:val="000000"/>
          <w:sz w:val="32"/>
          <w:szCs w:val="32"/>
        </w:rPr>
        <w:t>。</w:t>
      </w:r>
    </w:p>
    <w:p w14:paraId="569194C7">
      <w:pPr>
        <w:pageBreakBefore w:val="0"/>
        <w:widowControl w:val="0"/>
        <w:kinsoku/>
        <w:wordWrap/>
        <w:overflowPunct/>
        <w:topLinePunct w:val="0"/>
        <w:autoSpaceDE/>
        <w:autoSpaceDN/>
        <w:bidi w:val="0"/>
        <w:spacing w:line="600" w:lineRule="exact"/>
        <w:ind w:right="0" w:firstLine="640" w:firstLineChars="200"/>
        <w:textAlignment w:val="auto"/>
        <w:rPr>
          <w:rFonts w:hint="eastAsia" w:ascii="仿宋_GB2312" w:hAnsi="仿宋_GB2312" w:eastAsia="仿宋_GB2312" w:cs="仿宋_GB2312"/>
          <w:color w:val="000000"/>
          <w:sz w:val="32"/>
          <w:szCs w:val="32"/>
        </w:rPr>
      </w:pPr>
      <w:r>
        <w:rPr>
          <w:rFonts w:hint="eastAsia" w:ascii="Times New Roman" w:hAnsi="Times New Roman" w:eastAsia="仿宋_GB2312" w:cs="仿宋_GB2312"/>
          <w:b w:val="0"/>
          <w:bCs w:val="0"/>
          <w:color w:val="000000"/>
          <w:sz w:val="32"/>
          <w:szCs w:val="32"/>
          <w:lang w:val="en-US" w:eastAsia="zh-CN"/>
        </w:rPr>
        <w:t>3</w:t>
      </w:r>
      <w:r>
        <w:rPr>
          <w:rFonts w:hint="eastAsia" w:ascii="仿宋_GB2312" w:hAnsi="仿宋_GB2312" w:eastAsia="仿宋_GB2312" w:cs="仿宋_GB2312"/>
          <w:b w:val="0"/>
          <w:bCs w:val="0"/>
          <w:color w:val="000000"/>
          <w:sz w:val="32"/>
          <w:szCs w:val="32"/>
          <w:lang w:val="en-US" w:eastAsia="zh-CN"/>
        </w:rPr>
        <w:t>.所</w:t>
      </w:r>
      <w:r>
        <w:rPr>
          <w:rFonts w:hint="eastAsia" w:ascii="仿宋_GB2312" w:hAnsi="仿宋_GB2312" w:eastAsia="仿宋_GB2312" w:cs="仿宋_GB2312"/>
          <w:color w:val="000000"/>
          <w:sz w:val="32"/>
          <w:szCs w:val="32"/>
          <w:lang w:val="en-US" w:eastAsia="zh-CN"/>
        </w:rPr>
        <w:t>在教学单位</w:t>
      </w:r>
      <w:r>
        <w:rPr>
          <w:rFonts w:hint="eastAsia" w:ascii="仿宋_GB2312" w:hAnsi="仿宋_GB2312" w:eastAsia="仿宋_GB2312" w:cs="仿宋_GB2312"/>
          <w:color w:val="000000"/>
          <w:sz w:val="32"/>
          <w:szCs w:val="32"/>
        </w:rPr>
        <w:t>集体讨论</w:t>
      </w:r>
      <w:r>
        <w:rPr>
          <w:rFonts w:hint="eastAsia" w:ascii="仿宋_GB2312" w:hAnsi="仿宋_GB2312" w:eastAsia="仿宋_GB2312" w:cs="仿宋_GB2312"/>
          <w:color w:val="000000"/>
          <w:sz w:val="32"/>
          <w:szCs w:val="32"/>
          <w:lang w:val="en-US" w:eastAsia="zh-CN"/>
        </w:rPr>
        <w:t>决定</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形成书面审核意见，</w:t>
      </w:r>
      <w:r>
        <w:rPr>
          <w:rFonts w:hint="eastAsia" w:ascii="仿宋_GB2312" w:hAnsi="仿宋_GB2312" w:eastAsia="仿宋_GB2312" w:cs="仿宋_GB2312"/>
          <w:color w:val="000000"/>
          <w:sz w:val="32"/>
          <w:szCs w:val="32"/>
        </w:rPr>
        <w:t>得出审核结论，审核结论</w:t>
      </w:r>
      <w:r>
        <w:rPr>
          <w:rFonts w:hint="eastAsia" w:ascii="仿宋_GB2312" w:hAnsi="仿宋_GB2312" w:eastAsia="仿宋_GB2312" w:cs="仿宋_GB2312"/>
          <w:color w:val="000000"/>
          <w:sz w:val="32"/>
          <w:szCs w:val="32"/>
          <w:lang w:eastAsia="zh-CN"/>
        </w:rPr>
        <w:t>分为</w:t>
      </w:r>
      <w:r>
        <w:rPr>
          <w:rFonts w:hint="eastAsia" w:ascii="仿宋_GB2312" w:hAnsi="仿宋_GB2312" w:eastAsia="仿宋_GB2312" w:cs="仿宋_GB2312"/>
          <w:color w:val="000000"/>
          <w:sz w:val="32"/>
          <w:szCs w:val="32"/>
        </w:rPr>
        <w:t>“通过”“重新送审”和“不予通过”三种。</w:t>
      </w:r>
    </w:p>
    <w:p w14:paraId="38C33F30">
      <w:pPr>
        <w:pageBreakBefore w:val="0"/>
        <w:widowControl w:val="0"/>
        <w:kinsoku/>
        <w:wordWrap/>
        <w:overflowPunct/>
        <w:topLinePunct w:val="0"/>
        <w:autoSpaceDE/>
        <w:autoSpaceDN/>
        <w:bidi w:val="0"/>
        <w:spacing w:line="600" w:lineRule="exact"/>
        <w:ind w:right="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Times New Roman" w:hAnsi="Times New Roman" w:eastAsia="仿宋_GB2312" w:cs="仿宋_GB2312"/>
          <w:b w:val="0"/>
          <w:bCs w:val="0"/>
          <w:color w:val="000000"/>
          <w:sz w:val="32"/>
          <w:szCs w:val="32"/>
          <w:lang w:val="en-US" w:eastAsia="zh-CN"/>
        </w:rPr>
        <w:t>4</w:t>
      </w:r>
      <w:r>
        <w:rPr>
          <w:rFonts w:hint="eastAsia" w:ascii="仿宋_GB2312" w:hAnsi="仿宋_GB2312" w:eastAsia="仿宋_GB2312" w:cs="仿宋_GB2312"/>
          <w:b w:val="0"/>
          <w:bCs w:val="0"/>
          <w:color w:val="000000"/>
          <w:sz w:val="32"/>
          <w:szCs w:val="32"/>
          <w:lang w:val="en-US" w:eastAsia="zh-CN"/>
        </w:rPr>
        <w:t>.教材审核相关材料由所在教学单位党组织、行政负责人签字确认后报教务处备案。</w:t>
      </w:r>
    </w:p>
    <w:p w14:paraId="4669415D">
      <w:pPr>
        <w:pageBreakBefore w:val="0"/>
        <w:widowControl w:val="0"/>
        <w:kinsoku/>
        <w:wordWrap/>
        <w:overflowPunct/>
        <w:topLinePunct w:val="0"/>
        <w:autoSpaceDE/>
        <w:autoSpaceDN/>
        <w:bidi w:val="0"/>
        <w:spacing w:line="600" w:lineRule="exact"/>
        <w:ind w:right="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专家学者个人编写的教材可按上述流程审核，或由出版机构组织专家审核。</w:t>
      </w:r>
    </w:p>
    <w:p w14:paraId="1E2FBB0D">
      <w:pPr>
        <w:pageBreakBefore w:val="0"/>
        <w:widowControl w:val="0"/>
        <w:numPr>
          <w:ilvl w:val="0"/>
          <w:numId w:val="2"/>
        </w:numPr>
        <w:kinsoku/>
        <w:wordWrap/>
        <w:overflowPunct/>
        <w:topLinePunct w:val="0"/>
        <w:autoSpaceDE/>
        <w:autoSpaceDN/>
        <w:bidi w:val="0"/>
        <w:spacing w:line="600" w:lineRule="exact"/>
        <w:ind w:lef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教学单位要依据国家有关规定和课程标准全面审查教材，严把政治关、学术关，提升教材质量。政治把关要重点审核教材的政治方向和价值导向，学术把关要重点审核教材内容的科学性、先进性和适用性。政治立场、政治方向、政治标准要有机融入教材内容，不能简单化；杜绝政治上有错误的教材；选文篇目内容消极、导向不正确的，选文作者历史评价或社会形象负面的、有重大争议的，必须更换；教材编写人员政治立场、价值观和品德作风有问题的，必须更换。</w:t>
      </w:r>
    </w:p>
    <w:p w14:paraId="116F394D">
      <w:pPr>
        <w:pageBreakBefore w:val="0"/>
        <w:widowControl w:val="0"/>
        <w:numPr>
          <w:ilvl w:val="0"/>
          <w:numId w:val="2"/>
        </w:numPr>
        <w:kinsoku/>
        <w:wordWrap/>
        <w:overflowPunct/>
        <w:topLinePunct w:val="0"/>
        <w:autoSpaceDE/>
        <w:autoSpaceDN/>
        <w:bidi w:val="0"/>
        <w:spacing w:line="600" w:lineRule="exact"/>
        <w:ind w:lef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实行教材编审分离制度，遵循回避原则。教材审核人员须符合本办法第十三、十四条中相关政治与专业素养要求，具有较高的政治理论水平、较强的政治敏锐性和政治鉴别力，客观公正，作风严谨，经所在单位党组织审核同意。</w:t>
      </w:r>
    </w:p>
    <w:p w14:paraId="659E8135">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各教学单位需做好教材工作相关材料的存档工作，包括编写教师资格审查、专家审核意见、教材工作领导小组审核意见、教材文稿等，并于每年年底，将本年度本单位教师编写教材情况报送教务处，由教务处汇总后提交教材审核委员会审批备案。</w:t>
      </w:r>
    </w:p>
    <w:p w14:paraId="08FCB0C9">
      <w:pPr>
        <w:keepNext/>
        <w:keepLines/>
        <w:pageBreakBefore w:val="0"/>
        <w:widowControl w:val="0"/>
        <w:numPr>
          <w:ilvl w:val="0"/>
          <w:numId w:val="1"/>
        </w:numPr>
        <w:kinsoku/>
        <w:wordWrap/>
        <w:overflowPunct/>
        <w:topLinePunct w:val="0"/>
        <w:autoSpaceDE/>
        <w:autoSpaceDN/>
        <w:bidi w:val="0"/>
        <w:spacing w:line="600" w:lineRule="exact"/>
        <w:ind w:left="0" w:right="0" w:firstLine="0"/>
        <w:jc w:val="center"/>
        <w:textAlignment w:val="auto"/>
        <w:outlineLvl w:val="0"/>
        <w:rPr>
          <w:rFonts w:hint="eastAsia" w:ascii="黑体" w:hAnsi="黑体" w:eastAsia="黑体" w:cs="黑体"/>
          <w:bCs/>
          <w:color w:val="000000"/>
          <w:kern w:val="44"/>
          <w:sz w:val="32"/>
          <w:szCs w:val="32"/>
          <w:lang w:val="en-US" w:eastAsia="zh-CN" w:bidi="ar-SA"/>
        </w:rPr>
      </w:pPr>
      <w:r>
        <w:rPr>
          <w:rFonts w:hint="eastAsia" w:ascii="黑体" w:hAnsi="黑体" w:eastAsia="黑体" w:cs="黑体"/>
          <w:bCs/>
          <w:color w:val="000000"/>
          <w:kern w:val="44"/>
          <w:sz w:val="32"/>
          <w:szCs w:val="32"/>
          <w:lang w:val="en-US" w:eastAsia="zh-CN" w:bidi="ar-SA"/>
        </w:rPr>
        <w:t xml:space="preserve"> 教材选用</w:t>
      </w:r>
    </w:p>
    <w:p w14:paraId="04BF23B8">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各教学单位是教学选用的责任主体，承担教材选用管理工作。</w:t>
      </w:r>
    </w:p>
    <w:p w14:paraId="1F44BEDD">
      <w:pPr>
        <w:pageBreakBefore w:val="0"/>
        <w:widowControl w:val="0"/>
        <w:numPr>
          <w:ilvl w:val="0"/>
          <w:numId w:val="2"/>
        </w:numPr>
        <w:kinsoku/>
        <w:wordWrap/>
        <w:overflowPunct/>
        <w:topLinePunct w:val="0"/>
        <w:autoSpaceDE/>
        <w:autoSpaceDN/>
        <w:bidi w:val="0"/>
        <w:spacing w:line="600" w:lineRule="exact"/>
        <w:ind w:lef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学校建立校级教材选用库，所有通过审核的教材（含境内、境外、自编讲义）统一纳入选用库管理，未入库的教材不得用于课堂教学。</w:t>
      </w:r>
    </w:p>
    <w:p w14:paraId="77199D5D">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教材选用遵循以下原则：</w:t>
      </w:r>
    </w:p>
    <w:p w14:paraId="4FEA0C7E">
      <w:pPr>
        <w:pageBreakBefore w:val="0"/>
        <w:widowControl w:val="0"/>
        <w:kinsoku/>
        <w:wordWrap/>
        <w:overflowPunct/>
        <w:topLinePunct w:val="0"/>
        <w:autoSpaceDE/>
        <w:autoSpaceDN/>
        <w:bidi w:val="0"/>
        <w:spacing w:line="600" w:lineRule="exact"/>
        <w:ind w:right="0"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（一）</w:t>
      </w:r>
      <w:r>
        <w:rPr>
          <w:rFonts w:hint="eastAsia" w:ascii="仿宋_GB2312" w:hAnsi="仿宋_GB2312" w:eastAsia="仿宋_GB2312" w:cs="仿宋_GB2312"/>
          <w:color w:val="000000"/>
          <w:sz w:val="32"/>
          <w:szCs w:val="32"/>
        </w:rPr>
        <w:t>凡选必审。选用教材必须经</w:t>
      </w:r>
      <w:r>
        <w:rPr>
          <w:rFonts w:hint="eastAsia" w:ascii="仿宋_GB2312" w:hAnsi="仿宋_GB2312" w:eastAsia="仿宋_GB2312" w:cs="仿宋_GB2312"/>
          <w:color w:val="000000"/>
          <w:sz w:val="32"/>
          <w:szCs w:val="32"/>
          <w:highlight w:val="none"/>
        </w:rPr>
        <w:t>过</w:t>
      </w:r>
      <w:r>
        <w:rPr>
          <w:rFonts w:hint="eastAsia" w:ascii="仿宋_GB2312" w:hAnsi="仿宋_GB2312" w:eastAsia="仿宋_GB2312" w:cs="仿宋_GB2312"/>
          <w:color w:val="000000"/>
          <w:sz w:val="32"/>
          <w:szCs w:val="32"/>
          <w:highlight w:val="none"/>
          <w:lang w:val="en-US" w:eastAsia="zh-CN"/>
        </w:rPr>
        <w:t>教学单位审核、校级审定。主要对选用教材的政治方向、价值导向、学术取向等进行全面</w:t>
      </w:r>
      <w:r>
        <w:rPr>
          <w:rFonts w:hint="eastAsia" w:ascii="仿宋_GB2312" w:hAnsi="仿宋_GB2312" w:eastAsia="仿宋_GB2312" w:cs="仿宋_GB2312"/>
          <w:color w:val="000000"/>
          <w:sz w:val="32"/>
          <w:szCs w:val="32"/>
          <w:highlight w:val="none"/>
        </w:rPr>
        <w:t>审核</w:t>
      </w:r>
      <w:r>
        <w:rPr>
          <w:rFonts w:hint="eastAsia" w:ascii="仿宋_GB2312" w:hAnsi="仿宋_GB2312" w:eastAsia="仿宋_GB2312" w:cs="仿宋_GB2312"/>
          <w:color w:val="000000"/>
          <w:sz w:val="32"/>
          <w:szCs w:val="32"/>
          <w:highlight w:val="none"/>
          <w:lang w:val="en-US" w:eastAsia="zh-CN"/>
        </w:rPr>
        <w:t>把关</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val="en-US" w:eastAsia="zh-CN"/>
        </w:rPr>
        <w:t>意识形态属性较强的教材必须经学校党委进行政治把关。</w:t>
      </w:r>
    </w:p>
    <w:p w14:paraId="167CCBAC">
      <w:pPr>
        <w:pageBreakBefore w:val="0"/>
        <w:widowControl w:val="0"/>
        <w:kinsoku/>
        <w:wordWrap/>
        <w:overflowPunct/>
        <w:topLinePunct w:val="0"/>
        <w:autoSpaceDE/>
        <w:autoSpaceDN/>
        <w:bidi w:val="0"/>
        <w:spacing w:line="600" w:lineRule="exact"/>
        <w:ind w:right="0"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（二）</w:t>
      </w:r>
      <w:r>
        <w:rPr>
          <w:rFonts w:hint="eastAsia" w:ascii="仿宋_GB2312" w:hAnsi="仿宋_GB2312" w:eastAsia="仿宋_GB2312" w:cs="仿宋_GB2312"/>
          <w:color w:val="000000"/>
          <w:sz w:val="32"/>
          <w:szCs w:val="32"/>
        </w:rPr>
        <w:t>实行教材选审分离制度，遵循回避原则。</w:t>
      </w:r>
    </w:p>
    <w:p w14:paraId="314CC4B9">
      <w:pPr>
        <w:pageBreakBefore w:val="0"/>
        <w:widowControl w:val="0"/>
        <w:kinsoku/>
        <w:wordWrap/>
        <w:overflowPunct/>
        <w:topLinePunct w:val="0"/>
        <w:autoSpaceDE/>
        <w:autoSpaceDN/>
        <w:bidi w:val="0"/>
        <w:spacing w:line="600" w:lineRule="exact"/>
        <w:ind w:right="0"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（三）</w:t>
      </w:r>
      <w:r>
        <w:rPr>
          <w:rFonts w:hint="eastAsia" w:ascii="仿宋_GB2312" w:hAnsi="仿宋_GB2312" w:eastAsia="仿宋_GB2312" w:cs="仿宋_GB2312"/>
          <w:color w:val="000000"/>
          <w:sz w:val="32"/>
          <w:szCs w:val="32"/>
        </w:rPr>
        <w:t>质量第一。优先选用国家和省级规划教材、精品教材及获得省部级以上奖励的优秀教材。</w:t>
      </w:r>
      <w:r>
        <w:rPr>
          <w:rFonts w:hint="eastAsia" w:ascii="仿宋_GB2312" w:hAnsi="仿宋_GB2312" w:eastAsia="仿宋_GB2312" w:cs="仿宋_GB2312"/>
          <w:color w:val="000000"/>
          <w:sz w:val="32"/>
          <w:szCs w:val="32"/>
          <w:lang w:val="en-US" w:eastAsia="zh-CN"/>
        </w:rPr>
        <w:t>如无上述教材，则应</w:t>
      </w:r>
      <w:r>
        <w:rPr>
          <w:rFonts w:hint="eastAsia" w:ascii="仿宋_GB2312" w:hAnsi="仿宋_GB2312" w:eastAsia="仿宋_GB2312" w:cs="仿宋_GB2312"/>
          <w:color w:val="000000"/>
          <w:sz w:val="32"/>
          <w:szCs w:val="32"/>
        </w:rPr>
        <w:t>优先选用</w:t>
      </w:r>
      <w:r>
        <w:rPr>
          <w:rFonts w:hint="eastAsia" w:ascii="仿宋_GB2312" w:hAnsi="仿宋_GB2312" w:eastAsia="仿宋_GB2312" w:cs="仿宋_GB2312"/>
          <w:color w:val="000000"/>
          <w:sz w:val="32"/>
          <w:szCs w:val="32"/>
          <w:lang w:val="en-US" w:eastAsia="zh-CN"/>
        </w:rPr>
        <w:t>同类高校公认共选的、</w:t>
      </w:r>
      <w:r>
        <w:rPr>
          <w:rFonts w:hint="eastAsia" w:ascii="仿宋_GB2312" w:hAnsi="仿宋_GB2312" w:eastAsia="仿宋_GB2312" w:cs="仿宋_GB2312"/>
          <w:color w:val="000000"/>
          <w:sz w:val="32"/>
          <w:szCs w:val="32"/>
        </w:rPr>
        <w:t>近三年</w:t>
      </w:r>
      <w:r>
        <w:rPr>
          <w:rFonts w:hint="eastAsia" w:ascii="仿宋_GB2312" w:hAnsi="仿宋_GB2312" w:eastAsia="仿宋_GB2312" w:cs="仿宋_GB2312"/>
          <w:color w:val="000000"/>
          <w:sz w:val="32"/>
          <w:szCs w:val="32"/>
          <w:lang w:val="en-US" w:eastAsia="zh-CN"/>
        </w:rPr>
        <w:t>新</w:t>
      </w:r>
      <w:r>
        <w:rPr>
          <w:rFonts w:hint="eastAsia" w:ascii="仿宋_GB2312" w:hAnsi="仿宋_GB2312" w:eastAsia="仿宋_GB2312" w:cs="仿宋_GB2312"/>
          <w:color w:val="000000"/>
          <w:sz w:val="32"/>
          <w:szCs w:val="32"/>
        </w:rPr>
        <w:t>出版的</w:t>
      </w:r>
      <w:r>
        <w:rPr>
          <w:rFonts w:hint="eastAsia" w:ascii="仿宋_GB2312" w:hAnsi="仿宋_GB2312" w:eastAsia="仿宋_GB2312" w:cs="仿宋_GB2312"/>
          <w:color w:val="000000"/>
          <w:sz w:val="32"/>
          <w:szCs w:val="32"/>
          <w:lang w:val="en-US" w:eastAsia="zh-CN"/>
        </w:rPr>
        <w:t>通用</w:t>
      </w:r>
      <w:r>
        <w:rPr>
          <w:rFonts w:hint="eastAsia" w:ascii="仿宋_GB2312" w:hAnsi="仿宋_GB2312" w:eastAsia="仿宋_GB2312" w:cs="仿宋_GB2312"/>
          <w:color w:val="000000"/>
          <w:sz w:val="32"/>
          <w:szCs w:val="32"/>
        </w:rPr>
        <w:t>教材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或</w:t>
      </w:r>
      <w:r>
        <w:rPr>
          <w:rFonts w:hint="eastAsia" w:ascii="仿宋_GB2312" w:hAnsi="仿宋_GB2312" w:eastAsia="仿宋_GB2312" w:cs="仿宋_GB2312"/>
          <w:color w:val="000000"/>
          <w:sz w:val="32"/>
          <w:szCs w:val="32"/>
          <w:lang w:val="en-US" w:eastAsia="zh-CN"/>
        </w:rPr>
        <w:t>国家级出版社出</w:t>
      </w:r>
      <w:r>
        <w:rPr>
          <w:rFonts w:hint="eastAsia" w:ascii="仿宋_GB2312" w:hAnsi="仿宋_GB2312" w:eastAsia="仿宋_GB2312" w:cs="仿宋_GB2312"/>
          <w:color w:val="000000"/>
          <w:sz w:val="32"/>
          <w:szCs w:val="32"/>
        </w:rPr>
        <w:t>版</w:t>
      </w:r>
      <w:r>
        <w:rPr>
          <w:rFonts w:hint="eastAsia" w:ascii="仿宋_GB2312" w:hAnsi="仿宋_GB2312" w:eastAsia="仿宋_GB2312" w:cs="仿宋_GB2312"/>
          <w:color w:val="000000"/>
          <w:sz w:val="32"/>
          <w:szCs w:val="32"/>
          <w:lang w:val="en-US" w:eastAsia="zh-CN"/>
        </w:rPr>
        <w:t>的</w:t>
      </w:r>
      <w:r>
        <w:rPr>
          <w:rFonts w:hint="eastAsia" w:ascii="仿宋_GB2312" w:hAnsi="仿宋_GB2312" w:eastAsia="仿宋_GB2312" w:cs="仿宋_GB2312"/>
          <w:color w:val="000000"/>
          <w:sz w:val="32"/>
          <w:szCs w:val="32"/>
        </w:rPr>
        <w:t>教材。</w:t>
      </w:r>
    </w:p>
    <w:p w14:paraId="1DE340F9">
      <w:pPr>
        <w:pageBreakBefore w:val="0"/>
        <w:widowControl w:val="0"/>
        <w:kinsoku/>
        <w:wordWrap/>
        <w:overflowPunct/>
        <w:topLinePunct w:val="0"/>
        <w:autoSpaceDE/>
        <w:autoSpaceDN/>
        <w:bidi w:val="0"/>
        <w:spacing w:line="600" w:lineRule="exact"/>
        <w:ind w:right="0"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（四）</w:t>
      </w:r>
      <w:r>
        <w:rPr>
          <w:rFonts w:hint="eastAsia" w:ascii="仿宋_GB2312" w:hAnsi="仿宋_GB2312" w:eastAsia="仿宋_GB2312" w:cs="仿宋_GB2312"/>
          <w:color w:val="000000"/>
          <w:sz w:val="32"/>
          <w:szCs w:val="32"/>
        </w:rPr>
        <w:t>适宜教学。符合</w:t>
      </w:r>
      <w:r>
        <w:rPr>
          <w:rFonts w:hint="eastAsia" w:ascii="仿宋_GB2312" w:hAnsi="仿宋_GB2312" w:eastAsia="仿宋_GB2312" w:cs="仿宋_GB2312"/>
          <w:color w:val="000000"/>
          <w:sz w:val="32"/>
          <w:szCs w:val="32"/>
          <w:lang w:val="en-US" w:eastAsia="zh-CN"/>
        </w:rPr>
        <w:t>学校</w:t>
      </w:r>
      <w:r>
        <w:rPr>
          <w:rFonts w:hint="eastAsia" w:ascii="仿宋_GB2312" w:hAnsi="仿宋_GB2312" w:eastAsia="仿宋_GB2312" w:cs="仿宋_GB2312"/>
          <w:color w:val="000000"/>
          <w:sz w:val="32"/>
          <w:szCs w:val="32"/>
        </w:rPr>
        <w:t>人才培养方案</w:t>
      </w:r>
      <w:r>
        <w:rPr>
          <w:rFonts w:hint="eastAsia" w:ascii="仿宋_GB2312" w:hAnsi="仿宋_GB2312" w:eastAsia="仿宋_GB2312" w:cs="仿宋_GB2312"/>
          <w:color w:val="000000"/>
          <w:sz w:val="32"/>
          <w:szCs w:val="32"/>
          <w:lang w:val="en-US" w:eastAsia="zh-CN"/>
        </w:rPr>
        <w:t>和课程</w:t>
      </w:r>
      <w:r>
        <w:rPr>
          <w:rFonts w:hint="eastAsia" w:ascii="仿宋_GB2312" w:hAnsi="仿宋_GB2312" w:eastAsia="仿宋_GB2312" w:cs="仿宋_GB2312"/>
          <w:color w:val="000000"/>
          <w:sz w:val="32"/>
          <w:szCs w:val="32"/>
        </w:rPr>
        <w:t>教学大纲</w:t>
      </w:r>
      <w:r>
        <w:rPr>
          <w:rFonts w:hint="eastAsia" w:ascii="仿宋_GB2312" w:hAnsi="仿宋_GB2312" w:eastAsia="仿宋_GB2312" w:cs="仿宋_GB2312"/>
          <w:color w:val="000000"/>
          <w:sz w:val="32"/>
          <w:szCs w:val="32"/>
          <w:lang w:val="en-US" w:eastAsia="zh-CN"/>
        </w:rPr>
        <w:t>的</w:t>
      </w:r>
      <w:r>
        <w:rPr>
          <w:rFonts w:hint="eastAsia" w:ascii="仿宋_GB2312" w:hAnsi="仿宋_GB2312" w:eastAsia="仿宋_GB2312" w:cs="仿宋_GB2312"/>
          <w:color w:val="000000"/>
          <w:sz w:val="32"/>
          <w:szCs w:val="32"/>
        </w:rPr>
        <w:t>要求，符合教学和</w:t>
      </w:r>
      <w:r>
        <w:rPr>
          <w:rFonts w:hint="eastAsia" w:ascii="仿宋_GB2312" w:hAnsi="仿宋_GB2312" w:eastAsia="仿宋_GB2312" w:cs="仿宋_GB2312"/>
          <w:color w:val="000000"/>
          <w:sz w:val="32"/>
          <w:szCs w:val="32"/>
          <w:lang w:val="en-US" w:eastAsia="zh-CN"/>
        </w:rPr>
        <w:t>人才成长</w:t>
      </w:r>
      <w:r>
        <w:rPr>
          <w:rFonts w:hint="eastAsia" w:ascii="仿宋_GB2312" w:hAnsi="仿宋_GB2312" w:eastAsia="仿宋_GB2312" w:cs="仿宋_GB2312"/>
          <w:color w:val="000000"/>
          <w:sz w:val="32"/>
          <w:szCs w:val="32"/>
        </w:rPr>
        <w:t>规律，便于</w:t>
      </w:r>
      <w:r>
        <w:rPr>
          <w:rFonts w:hint="eastAsia" w:ascii="仿宋_GB2312" w:hAnsi="仿宋_GB2312" w:eastAsia="仿宋_GB2312" w:cs="仿宋_GB2312"/>
          <w:color w:val="000000"/>
          <w:sz w:val="32"/>
          <w:szCs w:val="32"/>
          <w:lang w:val="en-US" w:eastAsia="zh-CN"/>
        </w:rPr>
        <w:t>开展</w:t>
      </w:r>
      <w:r>
        <w:rPr>
          <w:rFonts w:hint="eastAsia" w:ascii="仿宋_GB2312" w:hAnsi="仿宋_GB2312" w:eastAsia="仿宋_GB2312" w:cs="仿宋_GB2312"/>
          <w:color w:val="000000"/>
          <w:sz w:val="32"/>
          <w:szCs w:val="32"/>
        </w:rPr>
        <w:t>课堂教学，有利于激发学生学习兴趣。</w:t>
      </w:r>
    </w:p>
    <w:p w14:paraId="496E43AF">
      <w:pPr>
        <w:pageBreakBefore w:val="0"/>
        <w:widowControl w:val="0"/>
        <w:kinsoku/>
        <w:wordWrap/>
        <w:overflowPunct/>
        <w:topLinePunct w:val="0"/>
        <w:autoSpaceDE/>
        <w:autoSpaceDN/>
        <w:bidi w:val="0"/>
        <w:spacing w:line="600" w:lineRule="exact"/>
        <w:ind w:right="0"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w:t>
      </w:r>
      <w:r>
        <w:rPr>
          <w:rFonts w:hint="eastAsia" w:ascii="仿宋_GB2312" w:hAnsi="仿宋_GB2312" w:eastAsia="仿宋_GB2312" w:cs="仿宋_GB2312"/>
          <w:b/>
          <w:bCs/>
          <w:color w:val="000000"/>
          <w:sz w:val="32"/>
          <w:szCs w:val="32"/>
          <w:lang w:val="en-US" w:eastAsia="zh-CN"/>
        </w:rPr>
        <w:t>五</w:t>
      </w:r>
      <w:r>
        <w:rPr>
          <w:rFonts w:hint="eastAsia" w:ascii="仿宋_GB2312" w:hAnsi="仿宋_GB2312" w:eastAsia="仿宋_GB2312" w:cs="仿宋_GB2312"/>
          <w:b/>
          <w:bCs/>
          <w:color w:val="000000"/>
          <w:sz w:val="32"/>
          <w:szCs w:val="32"/>
        </w:rPr>
        <w:t>）</w:t>
      </w:r>
      <w:r>
        <w:rPr>
          <w:rFonts w:hint="eastAsia" w:ascii="仿宋_GB2312" w:hAnsi="仿宋_GB2312" w:eastAsia="仿宋_GB2312" w:cs="仿宋_GB2312"/>
          <w:color w:val="000000"/>
          <w:sz w:val="32"/>
          <w:szCs w:val="32"/>
        </w:rPr>
        <w:t>公平公正。严肃选用纪律和程序，严禁违规操作。</w:t>
      </w:r>
    </w:p>
    <w:p w14:paraId="3D3B85D7">
      <w:pPr>
        <w:pageBreakBefore w:val="0"/>
        <w:widowControl w:val="0"/>
        <w:numPr>
          <w:ilvl w:val="-1"/>
          <w:numId w:val="0"/>
        </w:numPr>
        <w:kinsoku/>
        <w:wordWrap/>
        <w:overflowPunct/>
        <w:topLinePunct w:val="0"/>
        <w:autoSpaceDE/>
        <w:autoSpaceDN/>
        <w:bidi w:val="0"/>
        <w:spacing w:line="600" w:lineRule="exact"/>
        <w:ind w:left="0" w:leftChars="0" w:firstLine="643" w:firstLineChars="200"/>
        <w:jc w:val="both"/>
        <w:textAlignment w:val="auto"/>
        <w:outlineLvl w:val="1"/>
        <w:rPr>
          <w:rFonts w:hint="eastAsia" w:ascii="仿宋_GB2312" w:hAnsi="仿宋_GB2312" w:eastAsia="仿宋_GB2312" w:cs="仿宋_GB2312"/>
          <w:color w:val="000000"/>
          <w:kern w:val="2"/>
          <w:sz w:val="32"/>
          <w:szCs w:val="32"/>
          <w:highlight w:val="none"/>
          <w:lang w:val="en-US" w:eastAsia="zh-CN" w:bidi="ar-SA"/>
        </w:rPr>
      </w:pPr>
      <w:r>
        <w:rPr>
          <w:rFonts w:hint="eastAsia" w:ascii="仿宋_GB2312" w:hAnsi="仿宋_GB2312" w:eastAsia="仿宋_GB2312" w:cs="仿宋_GB2312"/>
          <w:b/>
          <w:bCs/>
          <w:color w:val="000000"/>
          <w:kern w:val="2"/>
          <w:sz w:val="32"/>
          <w:szCs w:val="32"/>
          <w:lang w:val="en-US" w:eastAsia="zh-CN" w:bidi="ar-SA"/>
        </w:rPr>
        <w:t>（六）</w:t>
      </w:r>
      <w:r>
        <w:rPr>
          <w:rFonts w:hint="eastAsia" w:ascii="仿宋_GB2312" w:hAnsi="仿宋_GB2312" w:eastAsia="仿宋_GB2312" w:cs="仿宋_GB2312"/>
          <w:color w:val="000000"/>
          <w:kern w:val="2"/>
          <w:sz w:val="32"/>
          <w:szCs w:val="32"/>
          <w:lang w:val="en-US" w:eastAsia="zh-CN" w:bidi="ar-SA"/>
        </w:rPr>
        <w:t>思想政治理论课必须统一使用国家统编教材。马克思主义理论研究和建设工程重点教材相关课程须统一使用马克思主义理论研究和建设工程重点教材。任何教学单位不得擅自更换、替代马工程教材，确因特殊情况需调整的，须报学校党委审议通过并报省级教育行政部门备案。</w:t>
      </w:r>
    </w:p>
    <w:p w14:paraId="67B90955">
      <w:pPr>
        <w:pageBreakBefore w:val="0"/>
        <w:widowControl w:val="0"/>
        <w:kinsoku/>
        <w:wordWrap/>
        <w:overflowPunct/>
        <w:topLinePunct w:val="0"/>
        <w:autoSpaceDE/>
        <w:autoSpaceDN/>
        <w:bidi w:val="0"/>
        <w:spacing w:line="600" w:lineRule="exact"/>
        <w:ind w:right="0"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w:t>
      </w:r>
      <w:r>
        <w:rPr>
          <w:rFonts w:hint="eastAsia" w:ascii="仿宋_GB2312" w:hAnsi="仿宋_GB2312" w:eastAsia="仿宋_GB2312" w:cs="仿宋_GB2312"/>
          <w:b/>
          <w:bCs/>
          <w:color w:val="000000"/>
          <w:sz w:val="32"/>
          <w:szCs w:val="32"/>
          <w:lang w:val="en-US" w:eastAsia="zh-CN"/>
        </w:rPr>
        <w:t>七</w:t>
      </w:r>
      <w:r>
        <w:rPr>
          <w:rFonts w:hint="eastAsia" w:ascii="仿宋_GB2312" w:hAnsi="仿宋_GB2312" w:eastAsia="仿宋_GB2312" w:cs="仿宋_GB2312"/>
          <w:b/>
          <w:bCs/>
          <w:color w:val="000000"/>
          <w:sz w:val="32"/>
          <w:szCs w:val="32"/>
        </w:rPr>
        <w:t>）</w:t>
      </w:r>
      <w:r>
        <w:rPr>
          <w:rFonts w:hint="eastAsia" w:ascii="仿宋_GB2312" w:hAnsi="仿宋_GB2312" w:eastAsia="仿宋_GB2312" w:cs="仿宋_GB2312"/>
          <w:color w:val="000000"/>
          <w:sz w:val="32"/>
          <w:szCs w:val="32"/>
        </w:rPr>
        <w:t>境内教材确实无法满足教学需要的或境内没有教材的，可选用优秀境外教材。引进境外教材要严格遵守国家出版物进口管理的有关规定，确保教材的思想性、科学性、先进性和适用性。优先选用国家重大发展战略急需的、反映学科专业和行业发展前沿的教材。选用境外教材的课程原则上应指定至少一本中文教学参考书。非经批准，不得擅自复制、使用境外教材。</w:t>
      </w:r>
    </w:p>
    <w:p w14:paraId="07F65AD4">
      <w:pPr>
        <w:pageBreakBefore w:val="0"/>
        <w:widowControl w:val="0"/>
        <w:kinsoku/>
        <w:wordWrap/>
        <w:overflowPunct/>
        <w:topLinePunct w:val="0"/>
        <w:autoSpaceDE/>
        <w:autoSpaceDN/>
        <w:bidi w:val="0"/>
        <w:spacing w:line="600" w:lineRule="exact"/>
        <w:ind w:right="0"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w:t>
      </w:r>
      <w:r>
        <w:rPr>
          <w:rFonts w:hint="eastAsia" w:ascii="仿宋_GB2312" w:hAnsi="仿宋_GB2312" w:eastAsia="仿宋_GB2312" w:cs="仿宋_GB2312"/>
          <w:b/>
          <w:bCs/>
          <w:color w:val="000000"/>
          <w:sz w:val="32"/>
          <w:szCs w:val="32"/>
          <w:lang w:val="en-US" w:eastAsia="zh-CN"/>
        </w:rPr>
        <w:t>八</w:t>
      </w:r>
      <w:r>
        <w:rPr>
          <w:rFonts w:hint="eastAsia" w:ascii="仿宋_GB2312" w:hAnsi="仿宋_GB2312" w:eastAsia="仿宋_GB2312" w:cs="仿宋_GB2312"/>
          <w:b/>
          <w:bCs/>
          <w:color w:val="000000"/>
          <w:sz w:val="32"/>
          <w:szCs w:val="32"/>
        </w:rPr>
        <w:t>）</w:t>
      </w:r>
      <w:r>
        <w:rPr>
          <w:rFonts w:hint="eastAsia" w:ascii="仿宋_GB2312" w:hAnsi="仿宋_GB2312" w:eastAsia="仿宋_GB2312" w:cs="仿宋_GB2312"/>
          <w:color w:val="000000"/>
          <w:sz w:val="32"/>
          <w:szCs w:val="32"/>
        </w:rPr>
        <w:t>同一教学单位开设的同一门课程原则上应使用同一种教材，教学改革试点课程除外。</w:t>
      </w:r>
    </w:p>
    <w:p w14:paraId="1EE7BED8">
      <w:pPr>
        <w:pageBreakBefore w:val="0"/>
        <w:widowControl w:val="0"/>
        <w:kinsoku/>
        <w:wordWrap/>
        <w:overflowPunct/>
        <w:topLinePunct w:val="0"/>
        <w:autoSpaceDE/>
        <w:autoSpaceDN/>
        <w:bidi w:val="0"/>
        <w:spacing w:line="600" w:lineRule="exact"/>
        <w:ind w:right="0"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w:t>
      </w:r>
      <w:r>
        <w:rPr>
          <w:rFonts w:hint="eastAsia" w:ascii="仿宋_GB2312" w:hAnsi="仿宋_GB2312" w:eastAsia="仿宋_GB2312" w:cs="仿宋_GB2312"/>
          <w:b/>
          <w:bCs/>
          <w:color w:val="000000"/>
          <w:sz w:val="32"/>
          <w:szCs w:val="32"/>
          <w:lang w:val="en-US" w:eastAsia="zh-CN"/>
        </w:rPr>
        <w:t>九</w:t>
      </w:r>
      <w:r>
        <w:rPr>
          <w:rFonts w:hint="eastAsia" w:ascii="仿宋_GB2312" w:hAnsi="仿宋_GB2312" w:eastAsia="仿宋_GB2312" w:cs="仿宋_GB2312"/>
          <w:b/>
          <w:bCs/>
          <w:color w:val="000000"/>
          <w:sz w:val="32"/>
          <w:szCs w:val="32"/>
        </w:rPr>
        <w:t>）</w:t>
      </w:r>
      <w:r>
        <w:rPr>
          <w:rFonts w:hint="eastAsia" w:ascii="仿宋_GB2312" w:hAnsi="仿宋_GB2312" w:eastAsia="仿宋_GB2312" w:cs="仿宋_GB2312"/>
          <w:color w:val="000000"/>
          <w:sz w:val="32"/>
          <w:szCs w:val="32"/>
        </w:rPr>
        <w:t>教材选用应考虑学生经济承受能力，杜绝选用包销质劣的教材。</w:t>
      </w:r>
    </w:p>
    <w:p w14:paraId="38142DDE">
      <w:pPr>
        <w:pageBreakBefore w:val="0"/>
        <w:widowControl w:val="0"/>
        <w:numPr>
          <w:ilvl w:val="0"/>
          <w:numId w:val="2"/>
        </w:numPr>
        <w:kinsoku/>
        <w:wordWrap/>
        <w:overflowPunct/>
        <w:topLinePunct w:val="0"/>
        <w:autoSpaceDE/>
        <w:autoSpaceDN/>
        <w:bidi w:val="0"/>
        <w:spacing w:line="600" w:lineRule="exact"/>
        <w:ind w:left="0" w:firstLine="640" w:firstLineChars="200"/>
        <w:jc w:val="both"/>
        <w:textAlignment w:val="auto"/>
        <w:outlineLvl w:val="1"/>
        <w:rPr>
          <w:rFonts w:hint="eastAsia" w:ascii="仿宋_GB2312" w:hAnsi="仿宋_GB2312" w:eastAsia="仿宋_GB2312" w:cs="仿宋_GB2312"/>
          <w:color w:val="000000"/>
          <w:kern w:val="2"/>
          <w:sz w:val="32"/>
          <w:szCs w:val="32"/>
          <w:highlight w:val="none"/>
          <w:lang w:val="en-US" w:eastAsia="zh-CN" w:bidi="ar-SA"/>
        </w:rPr>
      </w:pPr>
      <w:r>
        <w:rPr>
          <w:rFonts w:hint="eastAsia" w:ascii="仿宋_GB2312" w:hAnsi="仿宋_GB2312" w:eastAsia="仿宋_GB2312" w:cs="仿宋_GB2312"/>
          <w:color w:val="000000"/>
          <w:kern w:val="2"/>
          <w:sz w:val="32"/>
          <w:szCs w:val="32"/>
          <w:lang w:val="en-US" w:eastAsia="zh-CN" w:bidi="ar-SA"/>
        </w:rPr>
        <w:t>教材选用坚持集体决策，选用结果实行公示和备案制，选用流程如下：</w:t>
      </w:r>
    </w:p>
    <w:p w14:paraId="6F0A5127">
      <w:pPr>
        <w:pageBreakBefore w:val="0"/>
        <w:widowControl w:val="0"/>
        <w:kinsoku/>
        <w:wordWrap/>
        <w:overflowPunct/>
        <w:topLinePunct w:val="0"/>
        <w:autoSpaceDE/>
        <w:autoSpaceDN/>
        <w:bidi w:val="0"/>
        <w:spacing w:line="600" w:lineRule="exact"/>
        <w:ind w:right="0"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（一）</w:t>
      </w:r>
      <w:r>
        <w:rPr>
          <w:rFonts w:hint="eastAsia" w:ascii="仿宋_GB2312" w:hAnsi="仿宋_GB2312" w:eastAsia="仿宋_GB2312" w:cs="仿宋_GB2312"/>
          <w:color w:val="000000"/>
          <w:sz w:val="32"/>
          <w:szCs w:val="32"/>
        </w:rPr>
        <w:t>新开课程教材或原有课程更换教材，需经审核通过后，方可使用。教材选用审核工作一年两次，一般于开课前一学期期末进行。</w:t>
      </w:r>
    </w:p>
    <w:p w14:paraId="5D1AB803">
      <w:pPr>
        <w:pageBreakBefore w:val="0"/>
        <w:widowControl w:val="0"/>
        <w:kinsoku/>
        <w:wordWrap/>
        <w:overflowPunct/>
        <w:topLinePunct w:val="0"/>
        <w:autoSpaceDE/>
        <w:autoSpaceDN/>
        <w:bidi w:val="0"/>
        <w:spacing w:line="600" w:lineRule="exact"/>
        <w:ind w:right="0"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（二）</w:t>
      </w:r>
      <w:r>
        <w:rPr>
          <w:rFonts w:hint="eastAsia" w:ascii="仿宋_GB2312" w:hAnsi="仿宋_GB2312" w:eastAsia="仿宋_GB2312" w:cs="仿宋_GB2312"/>
          <w:color w:val="000000"/>
          <w:sz w:val="32"/>
          <w:szCs w:val="32"/>
        </w:rPr>
        <w:t>课程负责人填写《温州理工学院教材选用申请表》，报本单位教材工作</w:t>
      </w:r>
      <w:r>
        <w:rPr>
          <w:rFonts w:hint="eastAsia" w:ascii="仿宋_GB2312" w:hAnsi="仿宋_GB2312" w:eastAsia="仿宋_GB2312" w:cs="仿宋_GB2312"/>
          <w:color w:val="000000"/>
          <w:sz w:val="32"/>
          <w:szCs w:val="32"/>
          <w:lang w:val="en-US" w:eastAsia="zh-CN"/>
        </w:rPr>
        <w:t>领导小组</w:t>
      </w:r>
      <w:r>
        <w:rPr>
          <w:rFonts w:hint="eastAsia" w:ascii="仿宋_GB2312" w:hAnsi="仿宋_GB2312" w:eastAsia="仿宋_GB2312" w:cs="仿宋_GB2312"/>
          <w:color w:val="000000"/>
          <w:sz w:val="32"/>
          <w:szCs w:val="32"/>
        </w:rPr>
        <w:t>审定，并提供拟选用教材样书。</w:t>
      </w:r>
    </w:p>
    <w:p w14:paraId="47353BE1">
      <w:pPr>
        <w:pageBreakBefore w:val="0"/>
        <w:widowControl w:val="0"/>
        <w:kinsoku/>
        <w:wordWrap/>
        <w:overflowPunct/>
        <w:topLinePunct w:val="0"/>
        <w:autoSpaceDE/>
        <w:autoSpaceDN/>
        <w:bidi w:val="0"/>
        <w:spacing w:line="600" w:lineRule="exact"/>
        <w:ind w:right="0" w:firstLine="643"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b/>
          <w:bCs/>
          <w:color w:val="000000"/>
          <w:sz w:val="32"/>
          <w:szCs w:val="32"/>
        </w:rPr>
        <w:t>（三）</w:t>
      </w:r>
      <w:r>
        <w:rPr>
          <w:rFonts w:hint="eastAsia" w:ascii="仿宋_GB2312" w:hAnsi="仿宋_GB2312" w:eastAsia="仿宋_GB2312" w:cs="仿宋_GB2312"/>
          <w:b w:val="0"/>
          <w:bCs w:val="0"/>
          <w:color w:val="000000"/>
          <w:sz w:val="32"/>
          <w:szCs w:val="32"/>
          <w:lang w:val="en-US" w:eastAsia="zh-CN"/>
        </w:rPr>
        <w:t>各教学单位</w:t>
      </w:r>
      <w:r>
        <w:rPr>
          <w:rFonts w:hint="eastAsia" w:ascii="仿宋_GB2312" w:hAnsi="仿宋_GB2312" w:eastAsia="仿宋_GB2312" w:cs="仿宋_GB2312"/>
          <w:color w:val="000000"/>
          <w:sz w:val="32"/>
          <w:szCs w:val="32"/>
        </w:rPr>
        <w:t>教材工作</w:t>
      </w:r>
      <w:r>
        <w:rPr>
          <w:rFonts w:hint="eastAsia" w:ascii="仿宋_GB2312" w:hAnsi="仿宋_GB2312" w:eastAsia="仿宋_GB2312" w:cs="仿宋_GB2312"/>
          <w:color w:val="000000"/>
          <w:sz w:val="32"/>
          <w:szCs w:val="32"/>
          <w:lang w:val="en-US" w:eastAsia="zh-CN"/>
        </w:rPr>
        <w:t>领导小组</w:t>
      </w:r>
      <w:r>
        <w:rPr>
          <w:rFonts w:hint="eastAsia" w:ascii="仿宋_GB2312" w:hAnsi="仿宋_GB2312" w:eastAsia="仿宋_GB2312" w:cs="仿宋_GB2312"/>
          <w:color w:val="000000"/>
          <w:sz w:val="32"/>
          <w:szCs w:val="32"/>
        </w:rPr>
        <w:t>依据教材选用原则组织审核，通读拟选用教材，提出审读意见</w:t>
      </w:r>
      <w:r>
        <w:rPr>
          <w:rFonts w:hint="eastAsia" w:ascii="仿宋_GB2312" w:hAnsi="仿宋_GB2312" w:eastAsia="仿宋_GB2312" w:cs="仿宋_GB2312"/>
          <w:color w:val="000000"/>
          <w:sz w:val="32"/>
          <w:szCs w:val="32"/>
          <w:lang w:eastAsia="zh-CN"/>
        </w:rPr>
        <w:t>。</w:t>
      </w:r>
    </w:p>
    <w:p w14:paraId="0D5E719E">
      <w:pPr>
        <w:pageBreakBefore w:val="0"/>
        <w:widowControl w:val="0"/>
        <w:kinsoku/>
        <w:wordWrap/>
        <w:overflowPunct/>
        <w:topLinePunct w:val="0"/>
        <w:autoSpaceDE/>
        <w:autoSpaceDN/>
        <w:bidi w:val="0"/>
        <w:spacing w:line="600" w:lineRule="exact"/>
        <w:ind w:right="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四）各教学单位</w:t>
      </w:r>
      <w:r>
        <w:rPr>
          <w:rFonts w:hint="eastAsia" w:ascii="仿宋_GB2312" w:hAnsi="仿宋_GB2312" w:eastAsia="仿宋_GB2312" w:cs="仿宋_GB2312"/>
          <w:color w:val="000000"/>
          <w:sz w:val="32"/>
          <w:szCs w:val="32"/>
        </w:rPr>
        <w:t>召开审核会议，集体讨论决策，</w:t>
      </w:r>
      <w:r>
        <w:rPr>
          <w:rFonts w:hint="eastAsia" w:ascii="仿宋_GB2312" w:hAnsi="仿宋_GB2312" w:eastAsia="仿宋_GB2312" w:cs="仿宋_GB2312"/>
          <w:color w:val="000000"/>
          <w:sz w:val="32"/>
          <w:szCs w:val="32"/>
          <w:lang w:val="en-US" w:eastAsia="zh-CN"/>
        </w:rPr>
        <w:t>形成书面审核意见，得出</w:t>
      </w:r>
      <w:r>
        <w:rPr>
          <w:rFonts w:hint="eastAsia" w:ascii="仿宋_GB2312" w:hAnsi="仿宋_GB2312" w:eastAsia="仿宋_GB2312" w:cs="仿宋_GB2312"/>
          <w:color w:val="000000"/>
          <w:sz w:val="32"/>
          <w:szCs w:val="32"/>
        </w:rPr>
        <w:t>审核结论</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审核结论</w:t>
      </w:r>
      <w:r>
        <w:rPr>
          <w:rFonts w:hint="eastAsia" w:ascii="仿宋_GB2312" w:hAnsi="仿宋_GB2312" w:eastAsia="仿宋_GB2312" w:cs="仿宋_GB2312"/>
          <w:color w:val="000000"/>
          <w:sz w:val="32"/>
          <w:szCs w:val="32"/>
        </w:rPr>
        <w:t>分为“通过”“不予通过”</w:t>
      </w:r>
      <w:r>
        <w:rPr>
          <w:rFonts w:hint="eastAsia" w:ascii="仿宋_GB2312" w:hAnsi="仿宋_GB2312" w:eastAsia="仿宋_GB2312" w:cs="仿宋_GB2312"/>
          <w:color w:val="000000"/>
          <w:sz w:val="32"/>
          <w:szCs w:val="32"/>
          <w:lang w:val="en-US" w:eastAsia="zh-CN"/>
        </w:rPr>
        <w:t>两种</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不予通过</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的教材，教材工作</w:t>
      </w:r>
      <w:r>
        <w:rPr>
          <w:rFonts w:hint="eastAsia" w:ascii="仿宋_GB2312" w:hAnsi="仿宋_GB2312" w:eastAsia="仿宋_GB2312" w:cs="仿宋_GB2312"/>
          <w:color w:val="000000"/>
          <w:sz w:val="32"/>
          <w:szCs w:val="32"/>
          <w:lang w:val="en-US" w:eastAsia="zh-CN"/>
        </w:rPr>
        <w:t>领导小组</w:t>
      </w:r>
      <w:r>
        <w:rPr>
          <w:rFonts w:hint="eastAsia" w:ascii="仿宋_GB2312" w:hAnsi="仿宋_GB2312" w:eastAsia="仿宋_GB2312" w:cs="仿宋_GB2312"/>
          <w:color w:val="000000"/>
          <w:sz w:val="32"/>
          <w:szCs w:val="32"/>
        </w:rPr>
        <w:t>应为其推荐备选教材，待课程负责人选定后重新提交申请。</w:t>
      </w:r>
    </w:p>
    <w:p w14:paraId="16D27E7C">
      <w:pPr>
        <w:pageBreakBefore w:val="0"/>
        <w:widowControl w:val="0"/>
        <w:kinsoku/>
        <w:wordWrap/>
        <w:overflowPunct/>
        <w:topLinePunct w:val="0"/>
        <w:autoSpaceDE/>
        <w:autoSpaceDN/>
        <w:bidi w:val="0"/>
        <w:spacing w:line="600" w:lineRule="exact"/>
        <w:ind w:right="0"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w:t>
      </w:r>
      <w:r>
        <w:rPr>
          <w:rFonts w:hint="eastAsia" w:ascii="仿宋_GB2312" w:hAnsi="仿宋_GB2312" w:eastAsia="仿宋_GB2312" w:cs="仿宋_GB2312"/>
          <w:b/>
          <w:bCs/>
          <w:color w:val="000000"/>
          <w:sz w:val="32"/>
          <w:szCs w:val="32"/>
          <w:lang w:val="en-US" w:eastAsia="zh-CN"/>
        </w:rPr>
        <w:t>五</w:t>
      </w:r>
      <w:r>
        <w:rPr>
          <w:rFonts w:hint="eastAsia"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lang w:val="en-US" w:eastAsia="zh-CN"/>
        </w:rPr>
        <w:t>各教学单位对</w:t>
      </w:r>
      <w:r>
        <w:rPr>
          <w:rFonts w:hint="eastAsia" w:ascii="仿宋_GB2312" w:hAnsi="仿宋_GB2312" w:eastAsia="仿宋_GB2312" w:cs="仿宋_GB2312"/>
          <w:color w:val="000000"/>
          <w:sz w:val="32"/>
          <w:szCs w:val="32"/>
        </w:rPr>
        <w:t>教材选用结果</w:t>
      </w:r>
      <w:r>
        <w:rPr>
          <w:rFonts w:hint="eastAsia" w:ascii="仿宋_GB2312" w:hAnsi="仿宋_GB2312" w:eastAsia="仿宋_GB2312" w:cs="仿宋_GB2312"/>
          <w:color w:val="000000"/>
          <w:sz w:val="32"/>
          <w:szCs w:val="32"/>
          <w:lang w:val="en-US" w:eastAsia="zh-CN"/>
        </w:rPr>
        <w:t>进行</w:t>
      </w:r>
      <w:r>
        <w:rPr>
          <w:rFonts w:hint="eastAsia" w:ascii="仿宋_GB2312" w:hAnsi="仿宋_GB2312" w:eastAsia="仿宋_GB2312" w:cs="仿宋_GB2312"/>
          <w:color w:val="000000"/>
          <w:sz w:val="32"/>
          <w:szCs w:val="32"/>
        </w:rPr>
        <w:t>公示，公示期不少于</w:t>
      </w:r>
      <w:r>
        <w:rPr>
          <w:rFonts w:hint="eastAsia" w:ascii="Times New Roman" w:hAnsi="Times New Roman" w:eastAsia="仿宋_GB2312" w:cs="仿宋_GB2312"/>
          <w:color w:val="000000"/>
          <w:sz w:val="32"/>
          <w:szCs w:val="32"/>
        </w:rPr>
        <w:t>3</w:t>
      </w:r>
      <w:r>
        <w:rPr>
          <w:rFonts w:hint="eastAsia" w:ascii="仿宋_GB2312" w:hAnsi="仿宋_GB2312" w:eastAsia="仿宋_GB2312" w:cs="仿宋_GB2312"/>
          <w:color w:val="000000"/>
          <w:sz w:val="32"/>
          <w:szCs w:val="32"/>
          <w:lang w:val="en-US" w:eastAsia="zh-CN"/>
        </w:rPr>
        <w:t>个工作日</w:t>
      </w:r>
      <w:r>
        <w:rPr>
          <w:rFonts w:hint="eastAsia" w:ascii="仿宋_GB2312" w:hAnsi="仿宋_GB2312" w:eastAsia="仿宋_GB2312" w:cs="仿宋_GB2312"/>
          <w:color w:val="000000"/>
          <w:sz w:val="32"/>
          <w:szCs w:val="32"/>
        </w:rPr>
        <w:t>，公示无异议后</w:t>
      </w:r>
      <w:r>
        <w:rPr>
          <w:rFonts w:hint="eastAsia" w:ascii="仿宋_GB2312" w:hAnsi="仿宋_GB2312" w:eastAsia="仿宋_GB2312" w:cs="仿宋_GB2312"/>
          <w:color w:val="000000"/>
          <w:sz w:val="32"/>
          <w:szCs w:val="32"/>
          <w:lang w:val="en-US" w:eastAsia="zh-CN"/>
        </w:rPr>
        <w:t>由教学单位党组织负责人、行政负责人签字确认后</w:t>
      </w:r>
      <w:r>
        <w:rPr>
          <w:rFonts w:hint="eastAsia" w:ascii="仿宋_GB2312" w:hAnsi="仿宋_GB2312" w:eastAsia="仿宋_GB2312" w:cs="仿宋_GB2312"/>
          <w:color w:val="000000"/>
          <w:sz w:val="32"/>
          <w:szCs w:val="32"/>
        </w:rPr>
        <w:t>报教务处，汇总后提交</w:t>
      </w:r>
      <w:r>
        <w:rPr>
          <w:rFonts w:hint="eastAsia" w:ascii="仿宋_GB2312" w:hAnsi="仿宋_GB2312" w:eastAsia="仿宋_GB2312" w:cs="仿宋_GB2312"/>
          <w:color w:val="000000"/>
          <w:sz w:val="32"/>
          <w:szCs w:val="32"/>
          <w:lang w:val="en-US" w:eastAsia="zh-CN"/>
        </w:rPr>
        <w:t>学校</w:t>
      </w:r>
      <w:r>
        <w:rPr>
          <w:rFonts w:hint="eastAsia" w:ascii="仿宋_GB2312" w:hAnsi="仿宋_GB2312" w:eastAsia="仿宋_GB2312" w:cs="仿宋_GB2312"/>
          <w:color w:val="000000"/>
          <w:sz w:val="32"/>
          <w:szCs w:val="32"/>
        </w:rPr>
        <w:t>教材审核</w:t>
      </w:r>
      <w:r>
        <w:rPr>
          <w:rFonts w:hint="eastAsia" w:ascii="仿宋_GB2312" w:hAnsi="仿宋_GB2312" w:eastAsia="仿宋_GB2312" w:cs="仿宋_GB2312"/>
          <w:color w:val="000000"/>
          <w:sz w:val="32"/>
          <w:szCs w:val="32"/>
          <w:lang w:val="en-US" w:eastAsia="zh-CN"/>
        </w:rPr>
        <w:t>工作</w:t>
      </w:r>
      <w:r>
        <w:rPr>
          <w:rFonts w:hint="eastAsia" w:ascii="仿宋_GB2312" w:hAnsi="仿宋_GB2312" w:eastAsia="仿宋_GB2312" w:cs="仿宋_GB2312"/>
          <w:color w:val="000000"/>
          <w:sz w:val="32"/>
          <w:szCs w:val="32"/>
        </w:rPr>
        <w:t>委员会审批备案。</w:t>
      </w:r>
    </w:p>
    <w:p w14:paraId="3D571A46">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各教学单位应对哲学社会科学类教材、涉及国家主权、国家安全、海洋权益、社会安定、民族宗教等方面的内容或重大革命题材和重大历史题材的内容的教材进行重点审查。</w:t>
      </w:r>
    </w:p>
    <w:p w14:paraId="428B7B55">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教材选用工作应与培养方案的制订、调整等工作保持同步。教材一旦选定，除版本更新外，原则上不作变动，以保证教材的稳定性和课程教学质量的提升。确因学科进展和教学需要而变更教材的，须由课程负责人提出申请，说明变更理由，经教学单位教材工作领导小组审核、教学单位</w:t>
      </w:r>
      <w:r>
        <w:rPr>
          <w:rFonts w:hint="eastAsia" w:ascii="仿宋_GB2312" w:hAnsi="仿宋_GB2312" w:eastAsia="仿宋_GB2312" w:cs="仿宋_GB2312"/>
          <w:color w:val="000000"/>
          <w:kern w:val="2"/>
          <w:sz w:val="32"/>
          <w:szCs w:val="32"/>
          <w:highlight w:val="none"/>
          <w:lang w:val="en-US" w:eastAsia="zh-CN" w:bidi="ar-SA"/>
        </w:rPr>
        <w:t>党组织</w:t>
      </w:r>
      <w:r>
        <w:rPr>
          <w:rFonts w:hint="eastAsia" w:ascii="仿宋_GB2312" w:hAnsi="仿宋_GB2312" w:eastAsia="仿宋_GB2312" w:cs="仿宋_GB2312"/>
          <w:color w:val="000000"/>
          <w:kern w:val="2"/>
          <w:sz w:val="32"/>
          <w:szCs w:val="32"/>
          <w:lang w:val="en-US" w:eastAsia="zh-CN" w:bidi="ar-SA"/>
        </w:rPr>
        <w:t>签字确认后，报教务处备案，未经备案不得擅自变更教材。</w:t>
      </w:r>
    </w:p>
    <w:p w14:paraId="5D2B4651">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highlight w:val="none"/>
          <w:lang w:val="en-US" w:eastAsia="zh-CN" w:bidi="ar-SA"/>
        </w:rPr>
      </w:pPr>
      <w:r>
        <w:rPr>
          <w:rFonts w:hint="eastAsia" w:ascii="仿宋_GB2312" w:hAnsi="仿宋_GB2312" w:eastAsia="仿宋_GB2312" w:cs="仿宋_GB2312"/>
          <w:color w:val="000000"/>
          <w:kern w:val="2"/>
          <w:sz w:val="32"/>
          <w:szCs w:val="32"/>
          <w:lang w:val="en-US" w:eastAsia="zh-CN" w:bidi="ar-SA"/>
        </w:rPr>
        <w:t>各教学单位应做好教材存档工作，教材样书或教材封面、版权页及目录页应复印留档，选用境外教材的，必须提供一套样书存档。</w:t>
      </w:r>
      <w:r>
        <w:rPr>
          <w:rFonts w:hint="eastAsia" w:ascii="仿宋_GB2312" w:hAnsi="仿宋_GB2312" w:eastAsia="仿宋_GB2312" w:cs="仿宋_GB2312"/>
          <w:color w:val="000000"/>
          <w:kern w:val="2"/>
          <w:sz w:val="32"/>
          <w:szCs w:val="32"/>
          <w:highlight w:val="none"/>
          <w:lang w:val="en-US" w:eastAsia="zh-CN" w:bidi="ar-SA"/>
        </w:rPr>
        <w:t>教材存档材料（样书、复印件、审核意见）保存期限不少于</w:t>
      </w:r>
      <w:r>
        <w:rPr>
          <w:rFonts w:hint="eastAsia" w:ascii="Times New Roman" w:hAnsi="Times New Roman" w:eastAsia="仿宋_GB2312" w:cs="仿宋_GB2312"/>
          <w:color w:val="000000"/>
          <w:kern w:val="2"/>
          <w:sz w:val="32"/>
          <w:szCs w:val="32"/>
          <w:highlight w:val="none"/>
          <w:lang w:val="en-US" w:eastAsia="zh-CN" w:bidi="ar-SA"/>
        </w:rPr>
        <w:t>5</w:t>
      </w:r>
      <w:r>
        <w:rPr>
          <w:rFonts w:hint="eastAsia" w:ascii="仿宋_GB2312" w:hAnsi="仿宋_GB2312" w:eastAsia="仿宋_GB2312" w:cs="仿宋_GB2312"/>
          <w:color w:val="000000"/>
          <w:kern w:val="2"/>
          <w:sz w:val="32"/>
          <w:szCs w:val="32"/>
          <w:highlight w:val="none"/>
          <w:lang w:val="en-US" w:eastAsia="zh-CN" w:bidi="ar-SA"/>
        </w:rPr>
        <w:t>年，境外教材需提供一套样书存档且永久保存。</w:t>
      </w:r>
    </w:p>
    <w:p w14:paraId="12E27B88">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教材选用结果经学校教材审核工作委员会审批备案后，由教务处统一报省级教育行政部门备案。</w:t>
      </w:r>
    </w:p>
    <w:p w14:paraId="67F773BD">
      <w:pPr>
        <w:keepNext/>
        <w:keepLines/>
        <w:pageBreakBefore w:val="0"/>
        <w:widowControl w:val="0"/>
        <w:numPr>
          <w:ilvl w:val="0"/>
          <w:numId w:val="1"/>
        </w:numPr>
        <w:kinsoku/>
        <w:wordWrap/>
        <w:overflowPunct/>
        <w:topLinePunct w:val="0"/>
        <w:autoSpaceDE/>
        <w:autoSpaceDN/>
        <w:bidi w:val="0"/>
        <w:spacing w:line="600" w:lineRule="exact"/>
        <w:ind w:left="0" w:right="0" w:firstLine="0"/>
        <w:jc w:val="center"/>
        <w:textAlignment w:val="auto"/>
        <w:outlineLvl w:val="0"/>
        <w:rPr>
          <w:rFonts w:hint="eastAsia" w:ascii="黑体" w:hAnsi="黑体" w:eastAsia="黑体" w:cs="黑体"/>
          <w:bCs/>
          <w:color w:val="000000"/>
          <w:kern w:val="44"/>
          <w:sz w:val="32"/>
          <w:szCs w:val="32"/>
          <w:lang w:val="en-US" w:eastAsia="zh-CN" w:bidi="ar-SA"/>
        </w:rPr>
      </w:pPr>
      <w:r>
        <w:rPr>
          <w:rFonts w:hint="eastAsia" w:ascii="黑体" w:hAnsi="黑体" w:eastAsia="黑体" w:cs="黑体"/>
          <w:bCs/>
          <w:color w:val="000000"/>
          <w:kern w:val="44"/>
          <w:sz w:val="32"/>
          <w:szCs w:val="32"/>
          <w:lang w:val="en-US" w:eastAsia="zh-CN" w:bidi="ar-SA"/>
        </w:rPr>
        <w:t xml:space="preserve"> 支持保障</w:t>
      </w:r>
    </w:p>
    <w:p w14:paraId="60CEB2CC">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highlight w:val="none"/>
          <w:lang w:val="en-US" w:eastAsia="zh-CN" w:bidi="ar-SA"/>
        </w:rPr>
      </w:pPr>
      <w:r>
        <w:rPr>
          <w:rFonts w:hint="eastAsia" w:ascii="仿宋_GB2312" w:hAnsi="仿宋_GB2312" w:eastAsia="仿宋_GB2312" w:cs="仿宋_GB2312"/>
          <w:color w:val="000000"/>
          <w:kern w:val="2"/>
          <w:sz w:val="32"/>
          <w:szCs w:val="32"/>
          <w:lang w:val="en-US" w:eastAsia="zh-CN" w:bidi="ar-SA"/>
        </w:rPr>
        <w:t>统筹利用现有政策和资金渠道支持学校教材建设，重点支持与国家战略性新兴产业相关、契合浙江省社会经济发展实际需要的优秀教材，全国领先、使用广泛的精品特色教材，新专业紧缺教材及薄弱领域的教材建设。</w:t>
      </w:r>
    </w:p>
    <w:p w14:paraId="10BFE5CE">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highlight w:val="none"/>
          <w:lang w:val="en-US" w:eastAsia="zh-CN" w:bidi="ar-SA"/>
        </w:rPr>
      </w:pPr>
      <w:r>
        <w:rPr>
          <w:rFonts w:hint="eastAsia" w:ascii="仿宋_GB2312" w:hAnsi="仿宋_GB2312" w:eastAsia="仿宋_GB2312" w:cs="仿宋_GB2312"/>
          <w:color w:val="000000"/>
          <w:kern w:val="2"/>
          <w:sz w:val="32"/>
          <w:szCs w:val="32"/>
          <w:highlight w:val="none"/>
          <w:lang w:val="zh-TW" w:eastAsia="zh-TW" w:bidi="ar-SA"/>
        </w:rPr>
        <w:t>教材建设作为学科专业建设、教学质量、人才培养的重要内容，</w:t>
      </w:r>
      <w:r>
        <w:rPr>
          <w:rFonts w:hint="eastAsia" w:ascii="仿宋_GB2312" w:hAnsi="仿宋_GB2312" w:eastAsia="仿宋_GB2312" w:cs="仿宋_GB2312"/>
          <w:color w:val="000000"/>
          <w:kern w:val="2"/>
          <w:sz w:val="32"/>
          <w:szCs w:val="32"/>
          <w:highlight w:val="none"/>
          <w:lang w:val="en-US" w:eastAsia="zh-CN" w:bidi="ar-SA"/>
        </w:rPr>
        <w:t>统一</w:t>
      </w:r>
      <w:r>
        <w:rPr>
          <w:rFonts w:hint="eastAsia" w:ascii="仿宋_GB2312" w:hAnsi="仿宋_GB2312" w:eastAsia="仿宋_GB2312" w:cs="仿宋_GB2312"/>
          <w:color w:val="000000"/>
          <w:kern w:val="2"/>
          <w:sz w:val="32"/>
          <w:szCs w:val="32"/>
          <w:highlight w:val="none"/>
          <w:lang w:val="zh-TW" w:eastAsia="zh-TW" w:bidi="ar-SA"/>
        </w:rPr>
        <w:t>纳入</w:t>
      </w:r>
      <w:r>
        <w:rPr>
          <w:rFonts w:hint="eastAsia" w:ascii="仿宋_GB2312" w:hAnsi="仿宋_GB2312" w:eastAsia="仿宋_GB2312" w:cs="仿宋_GB2312"/>
          <w:color w:val="000000"/>
          <w:kern w:val="2"/>
          <w:sz w:val="32"/>
          <w:szCs w:val="32"/>
          <w:highlight w:val="none"/>
          <w:lang w:val="en-US" w:eastAsia="zh-CN" w:bidi="ar-SA"/>
        </w:rPr>
        <w:t>教学单位建设与考核的重要指标、</w:t>
      </w:r>
      <w:r>
        <w:rPr>
          <w:rFonts w:hint="eastAsia" w:ascii="仿宋_GB2312" w:hAnsi="仿宋_GB2312" w:eastAsia="仿宋_GB2312" w:cs="仿宋_GB2312"/>
          <w:color w:val="000000"/>
          <w:kern w:val="2"/>
          <w:sz w:val="32"/>
          <w:szCs w:val="32"/>
          <w:highlight w:val="none"/>
          <w:lang w:val="zh-TW" w:eastAsia="zh-TW" w:bidi="ar-SA"/>
        </w:rPr>
        <w:t>党建和思想政治工作考核评估体系</w:t>
      </w:r>
      <w:r>
        <w:rPr>
          <w:rFonts w:hint="eastAsia" w:ascii="仿宋_GB2312" w:hAnsi="仿宋_GB2312" w:eastAsia="仿宋_GB2312" w:cs="仿宋_GB2312"/>
          <w:color w:val="000000"/>
          <w:kern w:val="2"/>
          <w:sz w:val="32"/>
          <w:szCs w:val="32"/>
          <w:highlight w:val="none"/>
          <w:lang w:val="zh-TW" w:eastAsia="zh-CN" w:bidi="ar-SA"/>
        </w:rPr>
        <w:t>、教学评估等考核范畴</w:t>
      </w:r>
      <w:r>
        <w:rPr>
          <w:rFonts w:hint="eastAsia" w:ascii="仿宋_GB2312" w:hAnsi="仿宋_GB2312" w:eastAsia="仿宋_GB2312" w:cs="仿宋_GB2312"/>
          <w:color w:val="000000"/>
          <w:kern w:val="2"/>
          <w:sz w:val="32"/>
          <w:szCs w:val="32"/>
          <w:highlight w:val="none"/>
          <w:lang w:val="zh-TW" w:eastAsia="zh-TW" w:bidi="ar-SA"/>
        </w:rPr>
        <w:t>。</w:t>
      </w:r>
    </w:p>
    <w:p w14:paraId="76F89ABC">
      <w:pPr>
        <w:pageBreakBefore w:val="0"/>
        <w:widowControl w:val="0"/>
        <w:numPr>
          <w:ilvl w:val="0"/>
          <w:numId w:val="2"/>
        </w:numPr>
        <w:kinsoku/>
        <w:wordWrap/>
        <w:overflowPunct/>
        <w:topLinePunct w:val="0"/>
        <w:autoSpaceDE/>
        <w:autoSpaceDN/>
        <w:bidi w:val="0"/>
        <w:spacing w:line="600" w:lineRule="exact"/>
        <w:ind w:left="0" w:firstLine="640" w:firstLineChars="200"/>
        <w:jc w:val="both"/>
        <w:textAlignment w:val="auto"/>
        <w:outlineLvl w:val="1"/>
        <w:rPr>
          <w:rFonts w:hint="eastAsia" w:ascii="仿宋_GB2312" w:hAnsi="仿宋_GB2312" w:eastAsia="仿宋_GB2312" w:cs="仿宋_GB2312"/>
          <w:color w:val="000000"/>
          <w:kern w:val="2"/>
          <w:sz w:val="32"/>
          <w:szCs w:val="32"/>
          <w:highlight w:val="none"/>
          <w:lang w:val="en-US" w:eastAsia="zh-CN" w:bidi="ar-SA"/>
        </w:rPr>
      </w:pPr>
      <w:r>
        <w:rPr>
          <w:rFonts w:hint="eastAsia" w:ascii="仿宋_GB2312" w:hAnsi="仿宋_GB2312" w:eastAsia="仿宋_GB2312" w:cs="仿宋_GB2312"/>
          <w:color w:val="000000"/>
          <w:kern w:val="2"/>
          <w:sz w:val="32"/>
          <w:szCs w:val="32"/>
          <w:highlight w:val="none"/>
          <w:lang w:val="en-US" w:eastAsia="zh-CN" w:bidi="ar-SA"/>
        </w:rPr>
        <w:t>建立优秀教材编写激励保障机制。承担马克思主义理论研究和建设工程重点教材编写修订任务，主编和核心编者视同承担国家级科研课题；承担国家规划专业核心课程教材编写修订任务，主编和核心编者视同承担省部级科研课题，享受相应政策待遇，作为参评“长江学者奖励计划”“万人计划”等国家重大人才工程的重要成果。其他级别教材项目及成果的激励措施，按《温州理工学院教学建设与研究业绩量化标准》文件执行。教材编审工作纳入所在二级单位工作量考核，教材相关业绩作为职务评聘、评优评先、岗位晋升的重要指标。</w:t>
      </w:r>
    </w:p>
    <w:p w14:paraId="6AA5922D">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zh-TW" w:eastAsia="zh-TW" w:bidi="ar-SA"/>
        </w:rPr>
      </w:pPr>
      <w:r>
        <w:rPr>
          <w:rFonts w:hint="eastAsia" w:ascii="仿宋_GB2312" w:hAnsi="仿宋_GB2312" w:eastAsia="仿宋_GB2312" w:cs="仿宋_GB2312"/>
          <w:color w:val="000000"/>
          <w:kern w:val="2"/>
          <w:sz w:val="32"/>
          <w:szCs w:val="32"/>
          <w:lang w:val="zh-TW" w:eastAsia="zh-TW" w:bidi="ar-SA"/>
        </w:rPr>
        <w:t>加强教材信息化建设，促进教材管理工作信息化、现代化、规范化。</w:t>
      </w:r>
    </w:p>
    <w:p w14:paraId="73037674">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zh-TW" w:eastAsia="zh-TW" w:bidi="ar-SA"/>
        </w:rPr>
      </w:pPr>
      <w:r>
        <w:rPr>
          <w:rFonts w:hint="eastAsia" w:ascii="仿宋_GB2312" w:hAnsi="仿宋_GB2312" w:eastAsia="仿宋_GB2312" w:cs="仿宋_GB2312"/>
          <w:color w:val="000000"/>
          <w:kern w:val="2"/>
          <w:sz w:val="32"/>
          <w:szCs w:val="32"/>
          <w:lang w:val="en-US" w:eastAsia="zh-CN" w:bidi="ar-SA"/>
        </w:rPr>
        <w:t>建立教材研究基地，积极参与省级高教教材研究中心组织的相关工作，依托学校学科优势建设校级教材研究基地，开展教材建设理论与实践研究，加</w:t>
      </w:r>
      <w:r>
        <w:rPr>
          <w:rFonts w:hint="eastAsia" w:ascii="仿宋_GB2312" w:hAnsi="仿宋_GB2312" w:eastAsia="仿宋_GB2312" w:cs="仿宋_GB2312"/>
          <w:color w:val="000000"/>
          <w:kern w:val="2"/>
          <w:sz w:val="32"/>
          <w:szCs w:val="32"/>
          <w:lang w:val="zh-TW" w:eastAsia="zh-TW" w:bidi="ar-SA"/>
        </w:rPr>
        <w:t>强对高校教材</w:t>
      </w:r>
      <w:r>
        <w:rPr>
          <w:rFonts w:hint="eastAsia" w:ascii="仿宋_GB2312" w:hAnsi="仿宋_GB2312" w:eastAsia="仿宋_GB2312" w:cs="仿宋_GB2312"/>
          <w:color w:val="000000"/>
          <w:kern w:val="2"/>
          <w:sz w:val="32"/>
          <w:szCs w:val="32"/>
          <w:lang w:val="en-US" w:eastAsia="zh-CN" w:bidi="ar-SA"/>
        </w:rPr>
        <w:t>建设的理论与实践</w:t>
      </w:r>
      <w:r>
        <w:rPr>
          <w:rFonts w:hint="eastAsia" w:ascii="仿宋_GB2312" w:hAnsi="仿宋_GB2312" w:eastAsia="仿宋_GB2312" w:cs="仿宋_GB2312"/>
          <w:color w:val="000000"/>
          <w:kern w:val="2"/>
          <w:sz w:val="32"/>
          <w:szCs w:val="32"/>
          <w:lang w:val="zh-TW" w:eastAsia="zh-TW" w:bidi="ar-SA"/>
        </w:rPr>
        <w:t>研究。</w:t>
      </w:r>
    </w:p>
    <w:p w14:paraId="36126EFE">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zh-TW" w:eastAsia="zh-TW" w:bidi="ar-SA"/>
        </w:rPr>
      </w:pPr>
      <w:r>
        <w:rPr>
          <w:rFonts w:hint="eastAsia" w:ascii="仿宋_GB2312" w:hAnsi="仿宋_GB2312" w:eastAsia="仿宋_GB2312" w:cs="仿宋_GB2312"/>
          <w:color w:val="000000"/>
          <w:kern w:val="2"/>
          <w:sz w:val="32"/>
          <w:szCs w:val="32"/>
          <w:lang w:val="zh-TW" w:eastAsia="zh-CN" w:bidi="ar-SA"/>
        </w:rPr>
        <w:t>学校</w:t>
      </w:r>
      <w:r>
        <w:rPr>
          <w:rFonts w:hint="eastAsia" w:ascii="仿宋_GB2312" w:hAnsi="仿宋_GB2312" w:eastAsia="仿宋_GB2312" w:cs="仿宋_GB2312"/>
          <w:color w:val="000000"/>
          <w:kern w:val="2"/>
          <w:sz w:val="32"/>
          <w:szCs w:val="32"/>
          <w:lang w:val="zh-TW" w:eastAsia="zh-TW" w:bidi="ar-SA"/>
        </w:rPr>
        <w:t>党委加强教材工作的顶层设计和统筹协调，定期研究部署本校教材管理工作；</w:t>
      </w:r>
      <w:r>
        <w:rPr>
          <w:rFonts w:hint="eastAsia" w:ascii="仿宋_GB2312" w:hAnsi="仿宋_GB2312" w:eastAsia="仿宋_GB2312" w:cs="仿宋_GB2312"/>
          <w:color w:val="000000"/>
          <w:kern w:val="2"/>
          <w:sz w:val="32"/>
          <w:szCs w:val="32"/>
          <w:lang w:val="zh-TW" w:eastAsia="zh-CN" w:bidi="ar-SA"/>
        </w:rPr>
        <w:t>设立教材科</w:t>
      </w:r>
      <w:r>
        <w:rPr>
          <w:rFonts w:hint="eastAsia" w:ascii="仿宋_GB2312" w:hAnsi="仿宋_GB2312" w:eastAsia="仿宋_GB2312" w:cs="仿宋_GB2312"/>
          <w:color w:val="000000"/>
          <w:kern w:val="2"/>
          <w:sz w:val="32"/>
          <w:szCs w:val="32"/>
          <w:lang w:val="zh-TW" w:eastAsia="zh-TW" w:bidi="ar-SA"/>
        </w:rPr>
        <w:t>，配备一定数量的专职管理人员</w:t>
      </w:r>
      <w:r>
        <w:rPr>
          <w:rFonts w:hint="eastAsia" w:ascii="仿宋_GB2312" w:hAnsi="仿宋_GB2312" w:eastAsia="仿宋_GB2312" w:cs="仿宋_GB2312"/>
          <w:color w:val="000000"/>
          <w:kern w:val="2"/>
          <w:sz w:val="32"/>
          <w:szCs w:val="32"/>
          <w:lang w:val="zh-TW" w:eastAsia="zh-CN" w:bidi="ar-SA"/>
        </w:rPr>
        <w:t>，</w:t>
      </w:r>
      <w:r>
        <w:rPr>
          <w:rFonts w:hint="eastAsia" w:ascii="仿宋_GB2312" w:hAnsi="仿宋_GB2312" w:eastAsia="仿宋_GB2312" w:cs="仿宋_GB2312"/>
          <w:color w:val="000000"/>
          <w:kern w:val="2"/>
          <w:sz w:val="32"/>
          <w:szCs w:val="32"/>
          <w:lang w:val="zh-TW" w:eastAsia="zh-TW" w:bidi="ar-SA"/>
        </w:rPr>
        <w:t>负责教材管理工作；加大</w:t>
      </w:r>
      <w:r>
        <w:rPr>
          <w:rFonts w:hint="eastAsia" w:ascii="仿宋_GB2312" w:hAnsi="仿宋_GB2312" w:eastAsia="仿宋_GB2312" w:cs="仿宋_GB2312"/>
          <w:color w:val="000000"/>
          <w:kern w:val="2"/>
          <w:sz w:val="32"/>
          <w:szCs w:val="32"/>
          <w:lang w:val="zh-TW" w:eastAsia="zh-CN" w:bidi="ar-SA"/>
        </w:rPr>
        <w:t>经费</w:t>
      </w:r>
      <w:r>
        <w:rPr>
          <w:rFonts w:hint="eastAsia" w:ascii="仿宋_GB2312" w:hAnsi="仿宋_GB2312" w:eastAsia="仿宋_GB2312" w:cs="仿宋_GB2312"/>
          <w:color w:val="000000"/>
          <w:kern w:val="2"/>
          <w:sz w:val="32"/>
          <w:szCs w:val="32"/>
          <w:lang w:val="zh-TW" w:eastAsia="zh-TW" w:bidi="ar-SA"/>
        </w:rPr>
        <w:t>投入，保障教材编写、审核、管理、研究队伍</w:t>
      </w:r>
      <w:r>
        <w:rPr>
          <w:rFonts w:hint="eastAsia" w:ascii="仿宋_GB2312" w:hAnsi="仿宋_GB2312" w:eastAsia="仿宋_GB2312" w:cs="仿宋_GB2312"/>
          <w:color w:val="000000"/>
          <w:kern w:val="2"/>
          <w:sz w:val="32"/>
          <w:szCs w:val="32"/>
          <w:lang w:val="en-US" w:eastAsia="zh-CN" w:bidi="ar-SA"/>
        </w:rPr>
        <w:t>的</w:t>
      </w:r>
      <w:r>
        <w:rPr>
          <w:rFonts w:hint="eastAsia" w:ascii="仿宋_GB2312" w:hAnsi="仿宋_GB2312" w:eastAsia="仿宋_GB2312" w:cs="仿宋_GB2312"/>
          <w:color w:val="000000"/>
          <w:kern w:val="2"/>
          <w:sz w:val="32"/>
          <w:szCs w:val="32"/>
          <w:lang w:val="zh-TW" w:eastAsia="zh-TW" w:bidi="ar-SA"/>
        </w:rPr>
        <w:t>建设。</w:t>
      </w:r>
    </w:p>
    <w:p w14:paraId="6BDC35E6">
      <w:pPr>
        <w:keepNext/>
        <w:keepLines/>
        <w:pageBreakBefore w:val="0"/>
        <w:widowControl w:val="0"/>
        <w:numPr>
          <w:ilvl w:val="0"/>
          <w:numId w:val="1"/>
        </w:numPr>
        <w:kinsoku/>
        <w:wordWrap/>
        <w:overflowPunct/>
        <w:topLinePunct w:val="0"/>
        <w:autoSpaceDE/>
        <w:autoSpaceDN/>
        <w:bidi w:val="0"/>
        <w:spacing w:line="600" w:lineRule="exact"/>
        <w:ind w:left="0" w:right="0" w:firstLine="0"/>
        <w:jc w:val="center"/>
        <w:textAlignment w:val="auto"/>
        <w:outlineLvl w:val="0"/>
        <w:rPr>
          <w:rFonts w:hint="eastAsia" w:ascii="黑体" w:hAnsi="黑体" w:eastAsia="黑体" w:cs="黑体"/>
          <w:bCs/>
          <w:color w:val="000000"/>
          <w:kern w:val="44"/>
          <w:sz w:val="32"/>
          <w:szCs w:val="32"/>
          <w:lang w:val="en-US" w:eastAsia="zh-CN" w:bidi="ar-SA"/>
        </w:rPr>
      </w:pPr>
      <w:r>
        <w:rPr>
          <w:rFonts w:hint="eastAsia" w:ascii="黑体" w:hAnsi="黑体" w:eastAsia="黑体" w:cs="黑体"/>
          <w:bCs/>
          <w:color w:val="000000"/>
          <w:kern w:val="44"/>
          <w:sz w:val="32"/>
          <w:szCs w:val="32"/>
          <w:lang w:val="en-US" w:eastAsia="zh-CN" w:bidi="ar-SA"/>
        </w:rPr>
        <w:t xml:space="preserve"> 检查监督</w:t>
      </w:r>
    </w:p>
    <w:p w14:paraId="303DFA7F">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TW" w:bidi="ar-SA"/>
        </w:rPr>
        <w:t>学校负责教材质量的监控、评价与反馈工作，健全听课制度和学生实时反馈机制，</w:t>
      </w:r>
      <w:r>
        <w:rPr>
          <w:rFonts w:hint="eastAsia" w:ascii="仿宋_GB2312" w:hAnsi="仿宋_GB2312" w:eastAsia="仿宋_GB2312" w:cs="仿宋_GB2312"/>
          <w:color w:val="000000"/>
          <w:kern w:val="2"/>
          <w:sz w:val="32"/>
          <w:szCs w:val="32"/>
          <w:lang w:val="en-US" w:eastAsia="zh-CN" w:bidi="ar-SA"/>
        </w:rPr>
        <w:t>各教学单位</w:t>
      </w:r>
      <w:r>
        <w:rPr>
          <w:rFonts w:hint="eastAsia" w:ascii="仿宋_GB2312" w:hAnsi="仿宋_GB2312" w:eastAsia="仿宋_GB2312" w:cs="仿宋_GB2312"/>
          <w:color w:val="000000"/>
          <w:kern w:val="2"/>
          <w:sz w:val="32"/>
          <w:szCs w:val="32"/>
          <w:lang w:val="en-US" w:eastAsia="zh-TW" w:bidi="ar-SA"/>
        </w:rPr>
        <w:t>按要求对教材进行监督检查。</w:t>
      </w:r>
    </w:p>
    <w:p w14:paraId="24BED70C">
      <w:pPr>
        <w:pageBreakBefore w:val="0"/>
        <w:widowControl w:val="0"/>
        <w:numPr>
          <w:ilvl w:val="0"/>
          <w:numId w:val="2"/>
        </w:numPr>
        <w:kinsoku/>
        <w:wordWrap/>
        <w:overflowPunct/>
        <w:topLinePunct w:val="0"/>
        <w:autoSpaceDE/>
        <w:autoSpaceDN/>
        <w:bidi w:val="0"/>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出现以下情形之一，教材须停止使用，视情节轻重和所造成的影响，责令停止违规行为，并按规定对相关责任人给予相应处分。</w:t>
      </w:r>
    </w:p>
    <w:p w14:paraId="3B5CB9FF">
      <w:pPr>
        <w:pageBreakBefore w:val="0"/>
        <w:widowControl w:val="0"/>
        <w:kinsoku/>
        <w:wordWrap/>
        <w:overflowPunct/>
        <w:topLinePunct w:val="0"/>
        <w:autoSpaceDE/>
        <w:autoSpaceDN/>
        <w:bidi w:val="0"/>
        <w:adjustRightInd w:val="0"/>
        <w:snapToGrid w:val="0"/>
        <w:spacing w:line="600" w:lineRule="exact"/>
        <w:ind w:right="0" w:firstLine="572" w:firstLineChars="179"/>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（一）教材内容的政治方向和价值导向存在问题。</w:t>
      </w:r>
    </w:p>
    <w:p w14:paraId="4822120F">
      <w:pPr>
        <w:pageBreakBefore w:val="0"/>
        <w:widowControl w:val="0"/>
        <w:kinsoku/>
        <w:wordWrap/>
        <w:overflowPunct/>
        <w:topLinePunct w:val="0"/>
        <w:autoSpaceDE/>
        <w:autoSpaceDN/>
        <w:bidi w:val="0"/>
        <w:adjustRightInd w:val="0"/>
        <w:snapToGrid w:val="0"/>
        <w:spacing w:line="600" w:lineRule="exact"/>
        <w:ind w:right="0" w:firstLine="572" w:firstLineChars="179"/>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（二）教材内容出现严重科学性错误。</w:t>
      </w:r>
    </w:p>
    <w:p w14:paraId="37F9B99C">
      <w:pPr>
        <w:pageBreakBefore w:val="0"/>
        <w:widowControl w:val="0"/>
        <w:kinsoku/>
        <w:wordWrap/>
        <w:overflowPunct/>
        <w:topLinePunct w:val="0"/>
        <w:autoSpaceDE/>
        <w:autoSpaceDN/>
        <w:bidi w:val="0"/>
        <w:adjustRightInd w:val="0"/>
        <w:snapToGrid w:val="0"/>
        <w:spacing w:line="600" w:lineRule="exact"/>
        <w:ind w:right="0" w:firstLine="572" w:firstLineChars="179"/>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（三）教材所含链接内容存在问题，产生严重后果。</w:t>
      </w:r>
    </w:p>
    <w:p w14:paraId="6B0530AE">
      <w:pPr>
        <w:pageBreakBefore w:val="0"/>
        <w:widowControl w:val="0"/>
        <w:kinsoku/>
        <w:wordWrap/>
        <w:overflowPunct/>
        <w:topLinePunct w:val="0"/>
        <w:autoSpaceDE/>
        <w:autoSpaceDN/>
        <w:bidi w:val="0"/>
        <w:adjustRightInd w:val="0"/>
        <w:snapToGrid w:val="0"/>
        <w:spacing w:line="600" w:lineRule="exact"/>
        <w:ind w:right="0" w:firstLine="572" w:firstLineChars="179"/>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（四）盗版盗印教材。</w:t>
      </w:r>
    </w:p>
    <w:p w14:paraId="735E640F">
      <w:pPr>
        <w:pageBreakBefore w:val="0"/>
        <w:widowControl w:val="0"/>
        <w:kinsoku/>
        <w:wordWrap/>
        <w:overflowPunct/>
        <w:topLinePunct w:val="0"/>
        <w:autoSpaceDE/>
        <w:autoSpaceDN/>
        <w:bidi w:val="0"/>
        <w:adjustRightInd w:val="0"/>
        <w:snapToGrid w:val="0"/>
        <w:spacing w:line="600" w:lineRule="exact"/>
        <w:ind w:right="0" w:firstLine="572" w:firstLineChars="179"/>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（五）违规编写出版国家统编教材及其他通识必选课程教材。</w:t>
      </w:r>
    </w:p>
    <w:p w14:paraId="0E2FD07B">
      <w:pPr>
        <w:pageBreakBefore w:val="0"/>
        <w:widowControl w:val="0"/>
        <w:kinsoku/>
        <w:wordWrap/>
        <w:overflowPunct/>
        <w:topLinePunct w:val="0"/>
        <w:autoSpaceDE/>
        <w:autoSpaceDN/>
        <w:bidi w:val="0"/>
        <w:adjustRightInd w:val="0"/>
        <w:snapToGrid w:val="0"/>
        <w:spacing w:line="600" w:lineRule="exact"/>
        <w:ind w:right="0" w:firstLine="572" w:firstLineChars="179"/>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（六）用不正当手段严重影响教材审核、选用工作。</w:t>
      </w:r>
    </w:p>
    <w:p w14:paraId="1031307D">
      <w:pPr>
        <w:pageBreakBefore w:val="0"/>
        <w:widowControl w:val="0"/>
        <w:kinsoku/>
        <w:wordWrap/>
        <w:overflowPunct/>
        <w:topLinePunct w:val="0"/>
        <w:autoSpaceDE/>
        <w:autoSpaceDN/>
        <w:bidi w:val="0"/>
        <w:adjustRightInd w:val="0"/>
        <w:snapToGrid w:val="0"/>
        <w:spacing w:line="600" w:lineRule="exact"/>
        <w:ind w:right="0" w:firstLine="572" w:firstLineChars="179"/>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（七）</w:t>
      </w:r>
      <w:bookmarkStart w:id="2" w:name="_GoBack"/>
      <w:bookmarkEnd w:id="2"/>
      <w:r>
        <w:rPr>
          <w:rFonts w:hint="eastAsia" w:ascii="仿宋_GB2312" w:hAnsi="仿宋_GB2312" w:eastAsia="仿宋_GB2312" w:cs="仿宋_GB2312"/>
          <w:b w:val="0"/>
          <w:bCs w:val="0"/>
          <w:color w:val="000000"/>
          <w:sz w:val="32"/>
          <w:szCs w:val="32"/>
        </w:rPr>
        <w:t>未按规定程序选用，选用未经审核或审核未通过的教材。</w:t>
      </w:r>
    </w:p>
    <w:p w14:paraId="21BBED11">
      <w:pPr>
        <w:pageBreakBefore w:val="0"/>
        <w:widowControl w:val="0"/>
        <w:kinsoku/>
        <w:wordWrap/>
        <w:overflowPunct/>
        <w:topLinePunct w:val="0"/>
        <w:autoSpaceDE/>
        <w:autoSpaceDN/>
        <w:bidi w:val="0"/>
        <w:adjustRightInd w:val="0"/>
        <w:snapToGrid w:val="0"/>
        <w:spacing w:line="600" w:lineRule="exact"/>
        <w:ind w:right="0" w:firstLine="572" w:firstLineChars="179"/>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（八）单位或个人私下向学生推销教材。</w:t>
      </w:r>
    </w:p>
    <w:p w14:paraId="28885FEA">
      <w:pPr>
        <w:pageBreakBefore w:val="0"/>
        <w:widowControl w:val="0"/>
        <w:kinsoku/>
        <w:wordWrap/>
        <w:overflowPunct/>
        <w:topLinePunct w:val="0"/>
        <w:autoSpaceDE/>
        <w:autoSpaceDN/>
        <w:bidi w:val="0"/>
        <w:adjustRightInd w:val="0"/>
        <w:snapToGrid w:val="0"/>
        <w:spacing w:line="600" w:lineRule="exact"/>
        <w:ind w:right="0" w:firstLine="572" w:firstLineChars="179"/>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九）在教材中擅自使用国家和省级规划教材标识，或使用可能误导高校教材选用的相似标识及表述，如标注主体或范围不明确的“规划教材”“示范教材”等字样，或擅自标注“全国”“国家”“浙江省”等字样。</w:t>
      </w:r>
    </w:p>
    <w:p w14:paraId="63CF6FCF">
      <w:pPr>
        <w:pageBreakBefore w:val="0"/>
        <w:widowControl w:val="0"/>
        <w:kinsoku/>
        <w:wordWrap/>
        <w:overflowPunct/>
        <w:topLinePunct w:val="0"/>
        <w:autoSpaceDE/>
        <w:autoSpaceDN/>
        <w:bidi w:val="0"/>
        <w:adjustRightInd w:val="0"/>
        <w:snapToGrid w:val="0"/>
        <w:spacing w:line="600" w:lineRule="exact"/>
        <w:ind w:right="0" w:firstLine="572" w:firstLineChars="179"/>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（十）其他造成严重后果的违法违规行为。</w:t>
      </w:r>
    </w:p>
    <w:p w14:paraId="7B9C78B8">
      <w:pPr>
        <w:keepNext/>
        <w:keepLines/>
        <w:pageBreakBefore w:val="0"/>
        <w:widowControl w:val="0"/>
        <w:numPr>
          <w:ilvl w:val="0"/>
          <w:numId w:val="1"/>
        </w:numPr>
        <w:kinsoku/>
        <w:wordWrap/>
        <w:overflowPunct/>
        <w:topLinePunct w:val="0"/>
        <w:autoSpaceDE/>
        <w:autoSpaceDN/>
        <w:bidi w:val="0"/>
        <w:spacing w:line="600" w:lineRule="exact"/>
        <w:ind w:left="0" w:right="0" w:firstLine="0"/>
        <w:jc w:val="center"/>
        <w:textAlignment w:val="auto"/>
        <w:outlineLvl w:val="0"/>
        <w:rPr>
          <w:rFonts w:hint="eastAsia" w:ascii="黑体" w:hAnsi="黑体" w:eastAsia="黑体" w:cs="黑体"/>
          <w:bCs/>
          <w:color w:val="000000"/>
          <w:kern w:val="44"/>
          <w:sz w:val="32"/>
          <w:szCs w:val="32"/>
          <w:lang w:val="en-US" w:eastAsia="zh-CN" w:bidi="ar-SA"/>
        </w:rPr>
      </w:pPr>
      <w:r>
        <w:rPr>
          <w:rFonts w:hint="eastAsia" w:ascii="黑体" w:hAnsi="黑体" w:eastAsia="黑体" w:cs="黑体"/>
          <w:bCs/>
          <w:color w:val="000000"/>
          <w:kern w:val="44"/>
          <w:sz w:val="32"/>
          <w:szCs w:val="32"/>
          <w:lang w:val="en-US" w:eastAsia="zh-CN" w:bidi="ar-SA"/>
        </w:rPr>
        <w:t xml:space="preserve"> 附  则</w:t>
      </w:r>
    </w:p>
    <w:p w14:paraId="2C9A264D">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作为教材使用的讲义、教案和教参以及数字教材参照本办法进行管理。</w:t>
      </w:r>
    </w:p>
    <w:p w14:paraId="15CF9C64">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right="0" w:firstLine="640" w:firstLineChars="200"/>
        <w:jc w:val="both"/>
        <w:textAlignment w:val="auto"/>
        <w:outlineLvl w:val="1"/>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本办法自公布之日起执行，由教务处负责解释。原文件</w:t>
      </w:r>
      <w:r>
        <w:rPr>
          <w:rFonts w:hint="eastAsia" w:ascii="仿宋_GB2312" w:hAnsi="仿宋_GB2312" w:eastAsia="仿宋_GB2312" w:cs="仿宋_GB2312"/>
          <w:bCs w:val="0"/>
          <w:color w:val="000000"/>
          <w:w w:val="100"/>
          <w:kern w:val="2"/>
          <w:sz w:val="32"/>
          <w:szCs w:val="32"/>
          <w:lang w:val="en-US" w:eastAsia="zh-CN" w:bidi="ar-SA"/>
        </w:rPr>
        <w:t>《温州理工学院教材管理办法》温理工行政〔</w:t>
      </w:r>
      <w:r>
        <w:rPr>
          <w:rFonts w:hint="eastAsia" w:ascii="Times New Roman" w:hAnsi="Times New Roman" w:eastAsia="仿宋_GB2312" w:cs="仿宋_GB2312"/>
          <w:bCs w:val="0"/>
          <w:color w:val="000000"/>
          <w:w w:val="100"/>
          <w:kern w:val="2"/>
          <w:sz w:val="32"/>
          <w:szCs w:val="32"/>
          <w:lang w:val="en-US" w:eastAsia="zh-CN" w:bidi="ar-SA"/>
        </w:rPr>
        <w:t>2021</w:t>
      </w:r>
      <w:r>
        <w:rPr>
          <w:rFonts w:hint="eastAsia" w:ascii="仿宋_GB2312" w:hAnsi="仿宋_GB2312" w:eastAsia="仿宋_GB2312" w:cs="仿宋_GB2312"/>
          <w:bCs w:val="0"/>
          <w:color w:val="000000"/>
          <w:w w:val="100"/>
          <w:kern w:val="2"/>
          <w:sz w:val="32"/>
          <w:szCs w:val="32"/>
          <w:lang w:val="en-US" w:eastAsia="zh-CN" w:bidi="ar-SA"/>
        </w:rPr>
        <w:t>〕</w:t>
      </w:r>
      <w:r>
        <w:rPr>
          <w:rFonts w:hint="eastAsia" w:ascii="Times New Roman" w:hAnsi="Times New Roman" w:eastAsia="仿宋_GB2312" w:cs="仿宋_GB2312"/>
          <w:bCs w:val="0"/>
          <w:color w:val="000000"/>
          <w:w w:val="100"/>
          <w:kern w:val="2"/>
          <w:sz w:val="32"/>
          <w:szCs w:val="32"/>
          <w:lang w:val="en-US" w:eastAsia="zh-CN" w:bidi="ar-SA"/>
        </w:rPr>
        <w:t>61</w:t>
      </w:r>
      <w:r>
        <w:rPr>
          <w:rFonts w:hint="eastAsia" w:ascii="仿宋_GB2312" w:hAnsi="仿宋_GB2312" w:eastAsia="仿宋_GB2312" w:cs="仿宋_GB2312"/>
          <w:bCs w:val="0"/>
          <w:color w:val="000000"/>
          <w:w w:val="100"/>
          <w:kern w:val="2"/>
          <w:sz w:val="32"/>
          <w:szCs w:val="32"/>
          <w:lang w:val="en-US" w:eastAsia="zh-CN" w:bidi="ar-SA"/>
        </w:rPr>
        <w:t>号同时</w:t>
      </w:r>
      <w:r>
        <w:rPr>
          <w:rFonts w:hint="eastAsia" w:ascii="仿宋_GB2312" w:hAnsi="仿宋_GB2312" w:eastAsia="仿宋_GB2312" w:cs="仿宋_GB2312"/>
          <w:color w:val="000000"/>
          <w:kern w:val="2"/>
          <w:sz w:val="32"/>
          <w:szCs w:val="32"/>
          <w:lang w:val="en-US" w:eastAsia="zh-CN" w:bidi="ar-SA"/>
        </w:rPr>
        <w:t>废止</w:t>
      </w:r>
      <w:r>
        <w:rPr>
          <w:rFonts w:hint="eastAsia" w:ascii="仿宋_GB2312" w:hAnsi="仿宋_GB2312" w:eastAsia="仿宋_GB2312" w:cs="仿宋_GB2312"/>
          <w:i w:val="0"/>
          <w:iCs w:val="0"/>
          <w:caps w:val="0"/>
          <w:color w:val="000000"/>
          <w:spacing w:val="0"/>
          <w:kern w:val="2"/>
          <w:sz w:val="32"/>
          <w:szCs w:val="32"/>
          <w:shd w:val="clear"/>
          <w:lang w:val="en-US" w:eastAsia="zh-CN" w:bidi="ar-SA"/>
        </w:rPr>
        <w:t>。</w:t>
      </w:r>
    </w:p>
    <w:p w14:paraId="55BDD9A9">
      <w:pPr>
        <w:keepNext w:val="0"/>
        <w:keepLines w:val="0"/>
        <w:pageBreakBefore w:val="0"/>
        <w:kinsoku/>
        <w:wordWrap/>
        <w:overflowPunct/>
        <w:topLinePunct w:val="0"/>
        <w:autoSpaceDE/>
        <w:autoSpaceDN/>
        <w:bidi w:val="0"/>
        <w:adjustRightInd/>
        <w:snapToGrid/>
        <w:spacing w:line="600" w:lineRule="exact"/>
        <w:textAlignment w:val="auto"/>
        <w:rPr>
          <w:rFonts w:hint="eastAsia" w:ascii="Calibri" w:hAnsi="Calibri" w:eastAsia="宋体" w:cs="Times New Roman"/>
          <w:szCs w:val="22"/>
        </w:rPr>
      </w:pPr>
    </w:p>
    <w:p w14:paraId="44DD56C5">
      <w:pPr>
        <w:keepNext w:val="0"/>
        <w:keepLines w:val="0"/>
        <w:pageBreakBefore w:val="0"/>
        <w:widowControl w:val="0"/>
        <w:kinsoku/>
        <w:wordWrap/>
        <w:overflowPunct/>
        <w:topLinePunct w:val="0"/>
        <w:autoSpaceDE/>
        <w:autoSpaceDN/>
        <w:bidi w:val="0"/>
        <w:adjustRightInd/>
        <w:snapToGrid/>
        <w:spacing w:line="600" w:lineRule="exact"/>
        <w:ind w:right="0" w:firstLine="664"/>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pacing w:val="8"/>
          <w:sz w:val="32"/>
          <w:szCs w:val="32"/>
        </w:rPr>
        <w:t>附件：温州理工学院</w:t>
      </w:r>
      <w:r>
        <w:rPr>
          <w:rFonts w:hint="eastAsia" w:ascii="仿宋_GB2312" w:hAnsi="仿宋_GB2312" w:eastAsia="仿宋_GB2312" w:cs="仿宋_GB2312"/>
          <w:color w:val="000000"/>
          <w:spacing w:val="7"/>
          <w:sz w:val="32"/>
          <w:szCs w:val="32"/>
        </w:rPr>
        <w:t>教材选用审批表</w:t>
      </w:r>
    </w:p>
    <w:p w14:paraId="6823553C">
      <w:pPr>
        <w:keepNext w:val="0"/>
        <w:keepLines w:val="0"/>
        <w:pageBreakBefore w:val="0"/>
        <w:widowControl/>
        <w:kinsoku/>
        <w:wordWrap/>
        <w:overflowPunct/>
        <w:topLinePunct w:val="0"/>
        <w:autoSpaceDE/>
        <w:autoSpaceDN/>
        <w:bidi w:val="0"/>
        <w:adjustRightInd/>
        <w:snapToGrid/>
        <w:spacing w:line="600" w:lineRule="exact"/>
        <w:ind w:right="0"/>
        <w:jc w:val="left"/>
        <w:textAlignment w:val="auto"/>
        <w:rPr>
          <w:rFonts w:ascii="仿宋_GB2312" w:hAnsi="仿宋_GB2312" w:eastAsia="仿宋_GB2312" w:cs="仿宋_GB2312"/>
          <w:color w:val="000000"/>
          <w:sz w:val="32"/>
          <w:szCs w:val="32"/>
        </w:rPr>
      </w:pPr>
      <w:r>
        <w:rPr>
          <w:rFonts w:hint="eastAsia" w:ascii="方正仿宋_GB2312" w:hAnsi="方正仿宋_GB2312" w:eastAsia="方正仿宋_GB2312" w:cs="方正仿宋_GB2312"/>
          <w:color w:val="000000"/>
          <w:sz w:val="32"/>
          <w:szCs w:val="32"/>
        </w:rPr>
        <w:br w:type="page"/>
      </w:r>
    </w:p>
    <w:p w14:paraId="3C780906">
      <w:pPr>
        <w:pageBreakBefore w:val="0"/>
        <w:kinsoku/>
        <w:wordWrap/>
        <w:overflowPunct/>
        <w:topLinePunct w:val="0"/>
        <w:autoSpaceDE/>
        <w:autoSpaceDN/>
        <w:bidi w:val="0"/>
        <w:spacing w:line="600" w:lineRule="exact"/>
        <w:ind w:right="0" w:firstLine="114"/>
        <w:textAlignment w:val="auto"/>
        <w:rPr>
          <w:rFonts w:ascii="黑体" w:hAnsi="黑体" w:eastAsia="黑体" w:cs="黑体"/>
          <w:color w:val="000000"/>
          <w:spacing w:val="-2"/>
          <w:sz w:val="32"/>
          <w:szCs w:val="32"/>
        </w:rPr>
      </w:pPr>
      <w:r>
        <w:rPr>
          <w:rFonts w:ascii="黑体" w:hAnsi="黑体" w:eastAsia="黑体" w:cs="黑体"/>
          <w:color w:val="000000"/>
          <w:spacing w:val="-3"/>
          <w:sz w:val="32"/>
          <w:szCs w:val="32"/>
        </w:rPr>
        <w:t>附</w:t>
      </w:r>
      <w:r>
        <w:rPr>
          <w:rFonts w:ascii="黑体" w:hAnsi="黑体" w:eastAsia="黑体" w:cs="黑体"/>
          <w:color w:val="000000"/>
          <w:spacing w:val="-2"/>
          <w:sz w:val="32"/>
          <w:szCs w:val="32"/>
        </w:rPr>
        <w:t>件</w:t>
      </w:r>
    </w:p>
    <w:p w14:paraId="3F590CC6">
      <w:pPr>
        <w:rPr>
          <w:rFonts w:hint="eastAsia"/>
        </w:rPr>
      </w:pPr>
    </w:p>
    <w:p w14:paraId="36837601">
      <w:pPr>
        <w:pageBreakBefore w:val="0"/>
        <w:kinsoku/>
        <w:wordWrap/>
        <w:overflowPunct/>
        <w:topLinePunct w:val="0"/>
        <w:autoSpaceDE/>
        <w:autoSpaceDN/>
        <w:bidi w:val="0"/>
        <w:spacing w:line="600" w:lineRule="exact"/>
        <w:ind w:right="0"/>
        <w:jc w:val="center"/>
        <w:textAlignment w:val="auto"/>
        <w:rPr>
          <w:rFonts w:ascii="方正小标宋_GBK" w:hAnsi="方正小标宋_GBK" w:eastAsia="方正小标宋_GBK" w:cs="方正小标宋_GBK"/>
          <w:color w:val="000000"/>
          <w:spacing w:val="7"/>
          <w:sz w:val="44"/>
          <w:szCs w:val="44"/>
        </w:rPr>
      </w:pPr>
      <w:r>
        <w:rPr>
          <w:rFonts w:hint="eastAsia" w:ascii="方正小标宋_GBK" w:hAnsi="方正小标宋_GBK" w:eastAsia="方正小标宋_GBK" w:cs="方正小标宋_GBK"/>
          <w:color w:val="000000"/>
          <w:spacing w:val="8"/>
          <w:sz w:val="44"/>
          <w:szCs w:val="44"/>
        </w:rPr>
        <w:t>温州理工学院</w:t>
      </w:r>
      <w:r>
        <w:rPr>
          <w:rFonts w:hint="eastAsia" w:ascii="方正小标宋_GBK" w:hAnsi="方正小标宋_GBK" w:eastAsia="方正小标宋_GBK" w:cs="方正小标宋_GBK"/>
          <w:color w:val="000000"/>
          <w:spacing w:val="7"/>
          <w:sz w:val="44"/>
          <w:szCs w:val="44"/>
        </w:rPr>
        <w:t>教材选用审批表</w:t>
      </w:r>
    </w:p>
    <w:p w14:paraId="58C130A7">
      <w:pPr>
        <w:keepNext w:val="0"/>
        <w:keepLines w:val="0"/>
        <w:pageBreakBefore w:val="0"/>
        <w:widowControl w:val="0"/>
        <w:kinsoku/>
        <w:wordWrap/>
        <w:overflowPunct/>
        <w:topLinePunct w:val="0"/>
        <w:autoSpaceDE/>
        <w:autoSpaceDN/>
        <w:bidi w:val="0"/>
        <w:adjustRightInd/>
        <w:snapToGrid/>
        <w:spacing w:line="200" w:lineRule="exact"/>
        <w:ind w:right="0"/>
        <w:textAlignment w:val="auto"/>
        <w:rPr>
          <w:rFonts w:hint="eastAsia" w:ascii="仿宋_GB2312" w:hAnsi="仿宋_GB2312" w:eastAsia="仿宋_GB2312" w:cs="仿宋_GB2312"/>
          <w:color w:val="000000"/>
          <w:sz w:val="32"/>
          <w:szCs w:val="32"/>
        </w:rPr>
      </w:pPr>
    </w:p>
    <w:p w14:paraId="3B67DC0A">
      <w:pPr>
        <w:keepNext w:val="0"/>
        <w:keepLines w:val="0"/>
        <w:pageBreakBefore w:val="0"/>
        <w:widowControl w:val="0"/>
        <w:kinsoku/>
        <w:wordWrap/>
        <w:overflowPunct/>
        <w:topLinePunct w:val="0"/>
        <w:autoSpaceDE/>
        <w:autoSpaceDN/>
        <w:bidi w:val="0"/>
        <w:adjustRightInd/>
        <w:snapToGrid/>
        <w:spacing w:line="400" w:lineRule="exact"/>
        <w:ind w:right="0"/>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教学单位</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lang w:val="en-US" w:eastAsia="zh-CN"/>
        </w:rPr>
        <w:t>公章）</w:t>
      </w:r>
      <w:r>
        <w:rPr>
          <w:rFonts w:hint="eastAsia" w:ascii="仿宋_GB2312" w:hAnsi="仿宋_GB2312" w:eastAsia="仿宋_GB2312" w:cs="仿宋_GB2312"/>
          <w:color w:val="000000"/>
          <w:sz w:val="28"/>
          <w:szCs w:val="28"/>
        </w:rPr>
        <w:t>：</w:t>
      </w:r>
    </w:p>
    <w:tbl>
      <w:tblPr>
        <w:tblStyle w:val="8"/>
        <w:tblW w:w="86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1443"/>
        <w:gridCol w:w="3350"/>
        <w:gridCol w:w="1707"/>
        <w:gridCol w:w="2193"/>
      </w:tblGrid>
      <w:tr w14:paraId="53AE9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1443" w:type="dxa"/>
            <w:shd w:val="clear" w:color="auto" w:fill="auto"/>
            <w:vAlign w:val="center"/>
          </w:tcPr>
          <w:p w14:paraId="64C008D6">
            <w:pPr>
              <w:keepNext w:val="0"/>
              <w:keepLines w:val="0"/>
              <w:pageBreakBefore w:val="0"/>
              <w:widowControl w:val="0"/>
              <w:kinsoku/>
              <w:wordWrap/>
              <w:overflowPunct/>
              <w:topLinePunct w:val="0"/>
              <w:autoSpaceDE/>
              <w:autoSpaceDN/>
              <w:bidi w:val="0"/>
              <w:adjustRightInd/>
              <w:snapToGrid/>
              <w:spacing w:line="360" w:lineRule="exact"/>
              <w:ind w:right="0" w:rightChars="0"/>
              <w:jc w:val="center"/>
              <w:textAlignment w:val="auto"/>
              <w:rPr>
                <w:rFonts w:hint="eastAsia" w:ascii="仿宋_GB2312" w:hAnsi="仿宋_GB2312" w:eastAsia="仿宋_GB2312" w:cs="仿宋_GB2312"/>
                <w:snapToGrid w:val="0"/>
                <w:color w:val="000000"/>
                <w:kern w:val="2"/>
                <w:sz w:val="28"/>
                <w:szCs w:val="28"/>
                <w:lang w:val="en-US" w:eastAsia="zh-CN" w:bidi="ar-SA"/>
              </w:rPr>
            </w:pPr>
            <w:r>
              <w:rPr>
                <w:rFonts w:hint="eastAsia" w:ascii="仿宋_GB2312" w:hAnsi="仿宋_GB2312" w:eastAsia="仿宋_GB2312" w:cs="仿宋_GB2312"/>
                <w:snapToGrid w:val="0"/>
                <w:color w:val="000000"/>
                <w:sz w:val="28"/>
                <w:szCs w:val="28"/>
              </w:rPr>
              <w:t>课程名称</w:t>
            </w:r>
          </w:p>
        </w:tc>
        <w:tc>
          <w:tcPr>
            <w:tcW w:w="3350" w:type="dxa"/>
            <w:shd w:val="clear" w:color="auto" w:fill="auto"/>
            <w:vAlign w:val="center"/>
          </w:tcPr>
          <w:p w14:paraId="4A312CB6">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rPr>
                <w:rFonts w:hint="eastAsia" w:ascii="仿宋_GB2312" w:hAnsi="仿宋_GB2312" w:eastAsia="仿宋_GB2312" w:cs="仿宋_GB2312"/>
                <w:snapToGrid w:val="0"/>
                <w:color w:val="000000"/>
                <w:kern w:val="2"/>
                <w:sz w:val="28"/>
                <w:szCs w:val="28"/>
                <w:lang w:val="en-US" w:eastAsia="zh-CN" w:bidi="ar-SA"/>
              </w:rPr>
            </w:pPr>
          </w:p>
        </w:tc>
        <w:tc>
          <w:tcPr>
            <w:tcW w:w="1707" w:type="dxa"/>
            <w:shd w:val="clear" w:color="auto" w:fill="auto"/>
            <w:vAlign w:val="center"/>
          </w:tcPr>
          <w:p w14:paraId="5FE313FA">
            <w:pPr>
              <w:keepNext w:val="0"/>
              <w:keepLines w:val="0"/>
              <w:pageBreakBefore w:val="0"/>
              <w:widowControl w:val="0"/>
              <w:kinsoku/>
              <w:wordWrap/>
              <w:overflowPunct/>
              <w:topLinePunct w:val="0"/>
              <w:autoSpaceDE/>
              <w:autoSpaceDN/>
              <w:bidi w:val="0"/>
              <w:adjustRightInd/>
              <w:snapToGrid/>
              <w:spacing w:line="360" w:lineRule="exact"/>
              <w:ind w:right="0" w:rightChars="0"/>
              <w:jc w:val="center"/>
              <w:textAlignment w:val="auto"/>
              <w:rPr>
                <w:rFonts w:hint="eastAsia" w:ascii="仿宋_GB2312" w:hAnsi="仿宋_GB2312" w:eastAsia="仿宋_GB2312" w:cs="仿宋_GB2312"/>
                <w:snapToGrid w:val="0"/>
                <w:color w:val="000000"/>
                <w:kern w:val="2"/>
                <w:sz w:val="28"/>
                <w:szCs w:val="28"/>
                <w:lang w:val="en-US" w:eastAsia="zh-CN" w:bidi="ar-SA"/>
              </w:rPr>
            </w:pPr>
            <w:r>
              <w:rPr>
                <w:rFonts w:hint="eastAsia" w:ascii="仿宋_GB2312" w:hAnsi="仿宋_GB2312" w:eastAsia="仿宋_GB2312" w:cs="仿宋_GB2312"/>
                <w:snapToGrid w:val="0"/>
                <w:color w:val="000000"/>
                <w:sz w:val="28"/>
                <w:szCs w:val="28"/>
              </w:rPr>
              <w:t>课程代码</w:t>
            </w:r>
          </w:p>
        </w:tc>
        <w:tc>
          <w:tcPr>
            <w:tcW w:w="2193" w:type="dxa"/>
          </w:tcPr>
          <w:p w14:paraId="1FB984E0">
            <w:pPr>
              <w:keepNext w:val="0"/>
              <w:keepLines w:val="0"/>
              <w:pageBreakBefore w:val="0"/>
              <w:widowControl w:val="0"/>
              <w:kinsoku/>
              <w:wordWrap/>
              <w:overflowPunct/>
              <w:topLinePunct w:val="0"/>
              <w:autoSpaceDE/>
              <w:autoSpaceDN/>
              <w:bidi w:val="0"/>
              <w:adjustRightInd/>
              <w:snapToGrid/>
              <w:spacing w:line="400" w:lineRule="exact"/>
              <w:ind w:right="0"/>
              <w:textAlignment w:val="auto"/>
              <w:rPr>
                <w:rFonts w:hint="eastAsia" w:ascii="仿宋_GB2312" w:hAnsi="仿宋_GB2312" w:eastAsia="仿宋_GB2312" w:cs="仿宋_GB2312"/>
                <w:color w:val="000000"/>
                <w:sz w:val="28"/>
                <w:szCs w:val="28"/>
                <w:vertAlign w:val="baseline"/>
              </w:rPr>
            </w:pPr>
          </w:p>
        </w:tc>
      </w:tr>
      <w:tr w14:paraId="4A02C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1443" w:type="dxa"/>
            <w:shd w:val="clear" w:color="auto" w:fill="auto"/>
            <w:vAlign w:val="center"/>
          </w:tcPr>
          <w:p w14:paraId="298E64DC">
            <w:pPr>
              <w:keepNext w:val="0"/>
              <w:keepLines w:val="0"/>
              <w:pageBreakBefore w:val="0"/>
              <w:widowControl w:val="0"/>
              <w:kinsoku/>
              <w:wordWrap/>
              <w:overflowPunct/>
              <w:topLinePunct w:val="0"/>
              <w:autoSpaceDE/>
              <w:autoSpaceDN/>
              <w:bidi w:val="0"/>
              <w:adjustRightInd/>
              <w:snapToGrid/>
              <w:spacing w:line="360" w:lineRule="exact"/>
              <w:ind w:right="0" w:rightChars="0"/>
              <w:jc w:val="center"/>
              <w:textAlignment w:val="auto"/>
              <w:rPr>
                <w:rFonts w:hint="eastAsia" w:ascii="仿宋_GB2312" w:hAnsi="仿宋_GB2312" w:eastAsia="仿宋_GB2312" w:cs="仿宋_GB2312"/>
                <w:snapToGrid w:val="0"/>
                <w:color w:val="000000"/>
                <w:spacing w:val="-17"/>
                <w:w w:val="90"/>
                <w:kern w:val="2"/>
                <w:sz w:val="28"/>
                <w:szCs w:val="28"/>
                <w:lang w:val="en-US" w:eastAsia="zh-CN" w:bidi="ar-SA"/>
              </w:rPr>
            </w:pPr>
            <w:r>
              <w:rPr>
                <w:rFonts w:hint="eastAsia" w:ascii="仿宋_GB2312" w:hAnsi="仿宋_GB2312" w:eastAsia="仿宋_GB2312" w:cs="仿宋_GB2312"/>
                <w:snapToGrid w:val="0"/>
                <w:color w:val="000000"/>
                <w:spacing w:val="-17"/>
                <w:w w:val="90"/>
                <w:sz w:val="28"/>
                <w:szCs w:val="28"/>
              </w:rPr>
              <w:t>书号（</w:t>
            </w:r>
            <w:r>
              <w:rPr>
                <w:rFonts w:hint="eastAsia" w:ascii="Times New Roman" w:hAnsi="Times New Roman" w:eastAsia="仿宋_GB2312" w:cs="仿宋_GB2312"/>
                <w:snapToGrid w:val="0"/>
                <w:color w:val="000000"/>
                <w:spacing w:val="-17"/>
                <w:w w:val="90"/>
                <w:sz w:val="28"/>
                <w:szCs w:val="28"/>
              </w:rPr>
              <w:t>ISBN</w:t>
            </w:r>
            <w:r>
              <w:rPr>
                <w:rFonts w:hint="eastAsia" w:ascii="仿宋_GB2312" w:hAnsi="仿宋_GB2312" w:eastAsia="仿宋_GB2312" w:cs="仿宋_GB2312"/>
                <w:snapToGrid w:val="0"/>
                <w:color w:val="000000"/>
                <w:spacing w:val="-17"/>
                <w:w w:val="90"/>
                <w:sz w:val="28"/>
                <w:szCs w:val="28"/>
              </w:rPr>
              <w:t>）</w:t>
            </w:r>
          </w:p>
        </w:tc>
        <w:tc>
          <w:tcPr>
            <w:tcW w:w="3350" w:type="dxa"/>
            <w:shd w:val="clear" w:color="auto" w:fill="auto"/>
            <w:vAlign w:val="center"/>
          </w:tcPr>
          <w:p w14:paraId="511FE38B">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rPr>
                <w:rFonts w:hint="eastAsia" w:ascii="仿宋_GB2312" w:hAnsi="仿宋_GB2312" w:eastAsia="仿宋_GB2312" w:cs="仿宋_GB2312"/>
                <w:snapToGrid w:val="0"/>
                <w:color w:val="000000"/>
                <w:kern w:val="2"/>
                <w:sz w:val="28"/>
                <w:szCs w:val="28"/>
                <w:lang w:val="en-US" w:eastAsia="zh-CN" w:bidi="ar-SA"/>
              </w:rPr>
            </w:pPr>
          </w:p>
        </w:tc>
        <w:tc>
          <w:tcPr>
            <w:tcW w:w="1707" w:type="dxa"/>
            <w:shd w:val="clear" w:color="auto" w:fill="auto"/>
            <w:vAlign w:val="center"/>
          </w:tcPr>
          <w:p w14:paraId="6DF27F4C">
            <w:pPr>
              <w:keepNext w:val="0"/>
              <w:keepLines w:val="0"/>
              <w:pageBreakBefore w:val="0"/>
              <w:widowControl w:val="0"/>
              <w:kinsoku/>
              <w:wordWrap/>
              <w:overflowPunct/>
              <w:topLinePunct w:val="0"/>
              <w:autoSpaceDE/>
              <w:autoSpaceDN/>
              <w:bidi w:val="0"/>
              <w:adjustRightInd/>
              <w:snapToGrid/>
              <w:spacing w:line="360" w:lineRule="exact"/>
              <w:ind w:right="0" w:rightChars="0"/>
              <w:jc w:val="center"/>
              <w:textAlignment w:val="auto"/>
              <w:rPr>
                <w:rFonts w:hint="eastAsia" w:ascii="仿宋_GB2312" w:hAnsi="仿宋_GB2312" w:eastAsia="仿宋_GB2312" w:cs="仿宋_GB2312"/>
                <w:snapToGrid w:val="0"/>
                <w:color w:val="000000"/>
                <w:spacing w:val="-17"/>
                <w:w w:val="80"/>
                <w:kern w:val="2"/>
                <w:sz w:val="28"/>
                <w:szCs w:val="28"/>
                <w:lang w:val="en-US" w:eastAsia="zh-CN" w:bidi="ar-SA"/>
              </w:rPr>
            </w:pPr>
            <w:r>
              <w:rPr>
                <w:rFonts w:hint="eastAsia" w:ascii="仿宋_GB2312" w:hAnsi="仿宋_GB2312" w:eastAsia="仿宋_GB2312" w:cs="仿宋_GB2312"/>
                <w:snapToGrid w:val="0"/>
                <w:color w:val="000000"/>
                <w:spacing w:val="-17"/>
                <w:w w:val="80"/>
                <w:sz w:val="28"/>
                <w:szCs w:val="28"/>
              </w:rPr>
              <w:t>教材名称（含版次）</w:t>
            </w:r>
          </w:p>
        </w:tc>
        <w:tc>
          <w:tcPr>
            <w:tcW w:w="2193" w:type="dxa"/>
          </w:tcPr>
          <w:p w14:paraId="10EAED1A">
            <w:pPr>
              <w:keepNext w:val="0"/>
              <w:keepLines w:val="0"/>
              <w:pageBreakBefore w:val="0"/>
              <w:widowControl w:val="0"/>
              <w:kinsoku/>
              <w:wordWrap/>
              <w:overflowPunct/>
              <w:topLinePunct w:val="0"/>
              <w:autoSpaceDE/>
              <w:autoSpaceDN/>
              <w:bidi w:val="0"/>
              <w:adjustRightInd/>
              <w:snapToGrid/>
              <w:spacing w:line="400" w:lineRule="exact"/>
              <w:ind w:right="0"/>
              <w:textAlignment w:val="auto"/>
              <w:rPr>
                <w:rFonts w:hint="eastAsia" w:ascii="仿宋_GB2312" w:hAnsi="仿宋_GB2312" w:eastAsia="仿宋_GB2312" w:cs="仿宋_GB2312"/>
                <w:color w:val="000000"/>
                <w:sz w:val="28"/>
                <w:szCs w:val="28"/>
                <w:vertAlign w:val="baseline"/>
              </w:rPr>
            </w:pPr>
          </w:p>
        </w:tc>
      </w:tr>
      <w:tr w14:paraId="679A9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1443" w:type="dxa"/>
            <w:shd w:val="clear" w:color="auto" w:fill="auto"/>
            <w:vAlign w:val="center"/>
          </w:tcPr>
          <w:p w14:paraId="3F817F90">
            <w:pPr>
              <w:keepNext w:val="0"/>
              <w:keepLines w:val="0"/>
              <w:pageBreakBefore w:val="0"/>
              <w:widowControl w:val="0"/>
              <w:kinsoku/>
              <w:wordWrap/>
              <w:overflowPunct/>
              <w:topLinePunct w:val="0"/>
              <w:autoSpaceDE/>
              <w:autoSpaceDN/>
              <w:bidi w:val="0"/>
              <w:adjustRightInd/>
              <w:snapToGrid/>
              <w:spacing w:line="360" w:lineRule="exact"/>
              <w:ind w:right="0" w:rightChars="0"/>
              <w:jc w:val="center"/>
              <w:textAlignment w:val="auto"/>
              <w:rPr>
                <w:rFonts w:hint="eastAsia" w:ascii="仿宋_GB2312" w:hAnsi="仿宋_GB2312" w:eastAsia="仿宋_GB2312" w:cs="仿宋_GB2312"/>
                <w:snapToGrid w:val="0"/>
                <w:color w:val="000000"/>
                <w:kern w:val="2"/>
                <w:sz w:val="28"/>
                <w:szCs w:val="28"/>
                <w:lang w:val="en-US" w:eastAsia="zh-CN" w:bidi="ar-SA"/>
              </w:rPr>
            </w:pPr>
            <w:r>
              <w:rPr>
                <w:rFonts w:hint="eastAsia" w:ascii="仿宋_GB2312" w:hAnsi="仿宋_GB2312" w:eastAsia="仿宋_GB2312" w:cs="仿宋_GB2312"/>
                <w:snapToGrid w:val="0"/>
                <w:color w:val="000000"/>
                <w:sz w:val="28"/>
                <w:szCs w:val="28"/>
                <w:lang w:val="en-US" w:eastAsia="zh-CN"/>
              </w:rPr>
              <w:t>第一主编</w:t>
            </w:r>
          </w:p>
        </w:tc>
        <w:tc>
          <w:tcPr>
            <w:tcW w:w="3350" w:type="dxa"/>
            <w:shd w:val="clear" w:color="auto" w:fill="auto"/>
            <w:vAlign w:val="center"/>
          </w:tcPr>
          <w:p w14:paraId="7822AF45">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rPr>
                <w:rFonts w:hint="eastAsia" w:ascii="仿宋_GB2312" w:hAnsi="仿宋_GB2312" w:eastAsia="仿宋_GB2312" w:cs="仿宋_GB2312"/>
                <w:snapToGrid w:val="0"/>
                <w:color w:val="000000"/>
                <w:kern w:val="2"/>
                <w:sz w:val="28"/>
                <w:szCs w:val="28"/>
                <w:lang w:val="en-US" w:eastAsia="zh-CN" w:bidi="ar-SA"/>
              </w:rPr>
            </w:pPr>
          </w:p>
        </w:tc>
        <w:tc>
          <w:tcPr>
            <w:tcW w:w="1707" w:type="dxa"/>
            <w:shd w:val="clear" w:color="auto" w:fill="auto"/>
            <w:vAlign w:val="center"/>
          </w:tcPr>
          <w:p w14:paraId="37117A34">
            <w:pPr>
              <w:keepNext w:val="0"/>
              <w:keepLines w:val="0"/>
              <w:pageBreakBefore w:val="0"/>
              <w:widowControl w:val="0"/>
              <w:kinsoku/>
              <w:wordWrap/>
              <w:overflowPunct/>
              <w:topLinePunct w:val="0"/>
              <w:autoSpaceDE/>
              <w:autoSpaceDN/>
              <w:bidi w:val="0"/>
              <w:adjustRightInd/>
              <w:snapToGrid/>
              <w:spacing w:line="360" w:lineRule="exact"/>
              <w:ind w:right="0" w:rightChars="0"/>
              <w:jc w:val="center"/>
              <w:textAlignment w:val="auto"/>
              <w:rPr>
                <w:rFonts w:hint="default" w:ascii="仿宋_GB2312" w:hAnsi="仿宋_GB2312" w:eastAsia="仿宋_GB2312" w:cs="仿宋_GB2312"/>
                <w:snapToGrid w:val="0"/>
                <w:color w:val="000000"/>
                <w:spacing w:val="-17"/>
                <w:w w:val="90"/>
                <w:kern w:val="2"/>
                <w:sz w:val="28"/>
                <w:szCs w:val="28"/>
                <w:lang w:val="en-US" w:eastAsia="zh-CN" w:bidi="ar-SA"/>
              </w:rPr>
            </w:pPr>
            <w:r>
              <w:rPr>
                <w:rFonts w:hint="eastAsia" w:ascii="仿宋_GB2312" w:hAnsi="仿宋_GB2312" w:eastAsia="仿宋_GB2312" w:cs="仿宋_GB2312"/>
                <w:snapToGrid w:val="0"/>
                <w:color w:val="000000"/>
                <w:sz w:val="28"/>
                <w:szCs w:val="28"/>
              </w:rPr>
              <w:t>出版单位</w:t>
            </w:r>
          </w:p>
        </w:tc>
        <w:tc>
          <w:tcPr>
            <w:tcW w:w="2193" w:type="dxa"/>
            <w:shd w:val="clear" w:color="auto" w:fill="auto"/>
            <w:vAlign w:val="center"/>
          </w:tcPr>
          <w:p w14:paraId="58AC462B">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rPr>
                <w:rFonts w:hint="eastAsia" w:ascii="仿宋_GB2312" w:hAnsi="仿宋_GB2312" w:eastAsia="仿宋_GB2312" w:cs="仿宋_GB2312"/>
                <w:snapToGrid w:val="0"/>
                <w:color w:val="000000"/>
                <w:kern w:val="2"/>
                <w:sz w:val="28"/>
                <w:szCs w:val="28"/>
                <w:lang w:val="en-US" w:eastAsia="zh-CN" w:bidi="ar-SA"/>
              </w:rPr>
            </w:pPr>
          </w:p>
        </w:tc>
      </w:tr>
      <w:tr w14:paraId="10E6A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1443" w:type="dxa"/>
            <w:shd w:val="clear" w:color="auto" w:fill="auto"/>
            <w:vAlign w:val="center"/>
          </w:tcPr>
          <w:p w14:paraId="667045C1">
            <w:pPr>
              <w:keepNext w:val="0"/>
              <w:keepLines w:val="0"/>
              <w:pageBreakBefore w:val="0"/>
              <w:widowControl w:val="0"/>
              <w:kinsoku/>
              <w:wordWrap/>
              <w:overflowPunct/>
              <w:topLinePunct w:val="0"/>
              <w:autoSpaceDE/>
              <w:autoSpaceDN/>
              <w:bidi w:val="0"/>
              <w:adjustRightInd/>
              <w:snapToGrid/>
              <w:spacing w:line="360" w:lineRule="exact"/>
              <w:ind w:right="0" w:rightChars="0"/>
              <w:jc w:val="center"/>
              <w:textAlignment w:val="auto"/>
              <w:rPr>
                <w:rFonts w:hint="eastAsia" w:ascii="仿宋_GB2312" w:hAnsi="仿宋_GB2312" w:eastAsia="仿宋_GB2312" w:cs="仿宋_GB2312"/>
                <w:snapToGrid w:val="0"/>
                <w:color w:val="000000"/>
                <w:kern w:val="2"/>
                <w:sz w:val="28"/>
                <w:szCs w:val="28"/>
                <w:lang w:val="en-US" w:eastAsia="zh-CN" w:bidi="ar-SA"/>
              </w:rPr>
            </w:pPr>
            <w:r>
              <w:rPr>
                <w:rFonts w:hint="eastAsia" w:ascii="仿宋_GB2312" w:hAnsi="仿宋_GB2312" w:eastAsia="仿宋_GB2312" w:cs="仿宋_GB2312"/>
                <w:snapToGrid w:val="0"/>
                <w:color w:val="000000"/>
                <w:spacing w:val="-17"/>
                <w:w w:val="90"/>
                <w:sz w:val="28"/>
                <w:szCs w:val="28"/>
                <w:lang w:val="en-US" w:eastAsia="zh-CN"/>
              </w:rPr>
              <w:t>第一主编单位</w:t>
            </w:r>
          </w:p>
        </w:tc>
        <w:tc>
          <w:tcPr>
            <w:tcW w:w="3350" w:type="dxa"/>
            <w:shd w:val="clear" w:color="auto" w:fill="auto"/>
            <w:vAlign w:val="center"/>
          </w:tcPr>
          <w:p w14:paraId="38866B63">
            <w:pPr>
              <w:keepNext w:val="0"/>
              <w:keepLines w:val="0"/>
              <w:pageBreakBefore w:val="0"/>
              <w:widowControl w:val="0"/>
              <w:kinsoku/>
              <w:wordWrap/>
              <w:overflowPunct/>
              <w:topLinePunct w:val="0"/>
              <w:autoSpaceDE/>
              <w:autoSpaceDN/>
              <w:bidi w:val="0"/>
              <w:adjustRightInd/>
              <w:snapToGrid/>
              <w:spacing w:line="360" w:lineRule="exact"/>
              <w:ind w:right="0" w:rightChars="0"/>
              <w:jc w:val="center"/>
              <w:textAlignment w:val="auto"/>
              <w:rPr>
                <w:rFonts w:hint="eastAsia" w:ascii="仿宋_GB2312" w:hAnsi="仿宋_GB2312" w:eastAsia="仿宋_GB2312" w:cs="仿宋_GB2312"/>
                <w:snapToGrid w:val="0"/>
                <w:color w:val="000000"/>
                <w:kern w:val="2"/>
                <w:sz w:val="28"/>
                <w:szCs w:val="28"/>
                <w:lang w:val="en-US" w:eastAsia="zh-CN" w:bidi="ar-SA"/>
              </w:rPr>
            </w:pPr>
          </w:p>
        </w:tc>
        <w:tc>
          <w:tcPr>
            <w:tcW w:w="1707" w:type="dxa"/>
            <w:shd w:val="clear" w:color="auto" w:fill="auto"/>
            <w:vAlign w:val="center"/>
          </w:tcPr>
          <w:p w14:paraId="23CE3401">
            <w:pPr>
              <w:keepNext w:val="0"/>
              <w:keepLines w:val="0"/>
              <w:pageBreakBefore w:val="0"/>
              <w:widowControl w:val="0"/>
              <w:kinsoku/>
              <w:wordWrap/>
              <w:overflowPunct/>
              <w:topLinePunct w:val="0"/>
              <w:autoSpaceDE/>
              <w:autoSpaceDN/>
              <w:bidi w:val="0"/>
              <w:adjustRightInd/>
              <w:snapToGrid/>
              <w:spacing w:line="360" w:lineRule="exact"/>
              <w:ind w:right="0" w:rightChars="0"/>
              <w:jc w:val="center"/>
              <w:textAlignment w:val="auto"/>
              <w:rPr>
                <w:rFonts w:hint="eastAsia" w:ascii="仿宋_GB2312" w:hAnsi="仿宋_GB2312" w:eastAsia="仿宋_GB2312" w:cs="仿宋_GB2312"/>
                <w:snapToGrid w:val="0"/>
                <w:color w:val="000000"/>
                <w:kern w:val="2"/>
                <w:sz w:val="28"/>
                <w:szCs w:val="28"/>
                <w:lang w:val="en-US" w:eastAsia="zh-CN" w:bidi="ar-SA"/>
              </w:rPr>
            </w:pPr>
            <w:r>
              <w:rPr>
                <w:rFonts w:hint="eastAsia" w:ascii="仿宋_GB2312" w:hAnsi="仿宋_GB2312" w:eastAsia="仿宋_GB2312" w:cs="仿宋_GB2312"/>
                <w:snapToGrid w:val="0"/>
                <w:color w:val="000000"/>
                <w:sz w:val="28"/>
                <w:szCs w:val="28"/>
              </w:rPr>
              <w:t>出版时间</w:t>
            </w:r>
          </w:p>
        </w:tc>
        <w:tc>
          <w:tcPr>
            <w:tcW w:w="2193" w:type="dxa"/>
            <w:shd w:val="clear" w:color="auto" w:fill="auto"/>
            <w:vAlign w:val="center"/>
          </w:tcPr>
          <w:p w14:paraId="1263A6B1">
            <w:pPr>
              <w:keepNext w:val="0"/>
              <w:keepLines w:val="0"/>
              <w:pageBreakBefore w:val="0"/>
              <w:widowControl w:val="0"/>
              <w:kinsoku/>
              <w:wordWrap/>
              <w:overflowPunct/>
              <w:topLinePunct w:val="0"/>
              <w:autoSpaceDE/>
              <w:autoSpaceDN/>
              <w:bidi w:val="0"/>
              <w:adjustRightInd/>
              <w:snapToGrid/>
              <w:spacing w:line="360" w:lineRule="exact"/>
              <w:ind w:right="0" w:rightChars="0"/>
              <w:jc w:val="right"/>
              <w:textAlignment w:val="auto"/>
              <w:rPr>
                <w:rFonts w:hint="eastAsia" w:ascii="仿宋_GB2312" w:hAnsi="仿宋_GB2312" w:eastAsia="仿宋_GB2312" w:cs="仿宋_GB2312"/>
                <w:snapToGrid w:val="0"/>
                <w:color w:val="000000"/>
                <w:kern w:val="2"/>
                <w:sz w:val="28"/>
                <w:szCs w:val="28"/>
                <w:lang w:val="en-US" w:eastAsia="zh-CN" w:bidi="ar-SA"/>
              </w:rPr>
            </w:pPr>
            <w:r>
              <w:rPr>
                <w:rFonts w:hint="eastAsia" w:ascii="仿宋_GB2312" w:hAnsi="仿宋_GB2312" w:eastAsia="仿宋_GB2312" w:cs="仿宋_GB2312"/>
                <w:snapToGrid w:val="0"/>
                <w:color w:val="000000"/>
                <w:sz w:val="28"/>
                <w:szCs w:val="28"/>
              </w:rPr>
              <w:t>年</w:t>
            </w:r>
            <w:r>
              <w:rPr>
                <w:rFonts w:hint="eastAsia" w:ascii="仿宋_GB2312" w:hAnsi="仿宋_GB2312" w:eastAsia="仿宋_GB2312" w:cs="仿宋_GB2312"/>
                <w:snapToGrid w:val="0"/>
                <w:color w:val="000000"/>
                <w:sz w:val="28"/>
                <w:szCs w:val="28"/>
                <w:lang w:val="en-US" w:eastAsia="zh-CN"/>
              </w:rPr>
              <w:t xml:space="preserve">   </w:t>
            </w:r>
            <w:r>
              <w:rPr>
                <w:rFonts w:hint="eastAsia" w:ascii="仿宋_GB2312" w:hAnsi="仿宋_GB2312" w:eastAsia="仿宋_GB2312" w:cs="仿宋_GB2312"/>
                <w:snapToGrid w:val="0"/>
                <w:color w:val="000000"/>
                <w:sz w:val="28"/>
                <w:szCs w:val="28"/>
              </w:rPr>
              <w:t xml:space="preserve"> 月</w:t>
            </w:r>
          </w:p>
        </w:tc>
      </w:tr>
      <w:tr w14:paraId="60962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1443" w:type="dxa"/>
            <w:shd w:val="clear" w:color="auto" w:fill="auto"/>
            <w:vAlign w:val="center"/>
          </w:tcPr>
          <w:p w14:paraId="6C94FF51">
            <w:pPr>
              <w:keepNext w:val="0"/>
              <w:keepLines w:val="0"/>
              <w:pageBreakBefore w:val="0"/>
              <w:widowControl w:val="0"/>
              <w:kinsoku/>
              <w:wordWrap/>
              <w:overflowPunct/>
              <w:topLinePunct w:val="0"/>
              <w:autoSpaceDE/>
              <w:autoSpaceDN/>
              <w:bidi w:val="0"/>
              <w:adjustRightInd/>
              <w:snapToGrid/>
              <w:spacing w:line="360" w:lineRule="exact"/>
              <w:ind w:right="0" w:rightChars="0"/>
              <w:jc w:val="center"/>
              <w:textAlignment w:val="auto"/>
              <w:rPr>
                <w:rFonts w:hint="eastAsia" w:ascii="仿宋_GB2312" w:hAnsi="仿宋_GB2312" w:eastAsia="仿宋_GB2312" w:cs="仿宋_GB2312"/>
                <w:snapToGrid w:val="0"/>
                <w:color w:val="000000"/>
                <w:kern w:val="2"/>
                <w:sz w:val="28"/>
                <w:szCs w:val="28"/>
                <w:lang w:val="en-US" w:eastAsia="zh-CN" w:bidi="ar-SA"/>
              </w:rPr>
            </w:pPr>
            <w:r>
              <w:rPr>
                <w:rFonts w:hint="eastAsia" w:ascii="仿宋_GB2312" w:hAnsi="仿宋_GB2312" w:eastAsia="仿宋_GB2312" w:cs="仿宋_GB2312"/>
                <w:snapToGrid w:val="0"/>
                <w:color w:val="000000"/>
                <w:sz w:val="28"/>
                <w:szCs w:val="28"/>
              </w:rPr>
              <w:t>授课专业</w:t>
            </w:r>
          </w:p>
        </w:tc>
        <w:tc>
          <w:tcPr>
            <w:tcW w:w="3350" w:type="dxa"/>
            <w:shd w:val="clear" w:color="auto" w:fill="auto"/>
            <w:vAlign w:val="center"/>
          </w:tcPr>
          <w:p w14:paraId="7B363ACA">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rPr>
                <w:rFonts w:hint="eastAsia" w:ascii="仿宋_GB2312" w:hAnsi="仿宋_GB2312" w:eastAsia="仿宋_GB2312" w:cs="仿宋_GB2312"/>
                <w:snapToGrid w:val="0"/>
                <w:color w:val="000000"/>
                <w:kern w:val="2"/>
                <w:sz w:val="28"/>
                <w:szCs w:val="28"/>
                <w:lang w:val="en-US" w:eastAsia="zh-CN" w:bidi="ar-SA"/>
              </w:rPr>
            </w:pPr>
          </w:p>
        </w:tc>
        <w:tc>
          <w:tcPr>
            <w:tcW w:w="1707" w:type="dxa"/>
            <w:shd w:val="clear" w:color="auto" w:fill="auto"/>
            <w:vAlign w:val="center"/>
          </w:tcPr>
          <w:p w14:paraId="250386D7">
            <w:pPr>
              <w:keepNext w:val="0"/>
              <w:keepLines w:val="0"/>
              <w:pageBreakBefore w:val="0"/>
              <w:widowControl w:val="0"/>
              <w:kinsoku/>
              <w:wordWrap/>
              <w:overflowPunct/>
              <w:topLinePunct w:val="0"/>
              <w:autoSpaceDE/>
              <w:autoSpaceDN/>
              <w:bidi w:val="0"/>
              <w:adjustRightInd/>
              <w:snapToGrid/>
              <w:spacing w:line="360" w:lineRule="exact"/>
              <w:ind w:right="0" w:rightChars="0"/>
              <w:jc w:val="center"/>
              <w:textAlignment w:val="auto"/>
              <w:rPr>
                <w:rFonts w:hint="eastAsia" w:ascii="仿宋_GB2312" w:hAnsi="仿宋_GB2312" w:eastAsia="仿宋_GB2312" w:cs="仿宋_GB2312"/>
                <w:snapToGrid w:val="0"/>
                <w:color w:val="000000"/>
                <w:kern w:val="2"/>
                <w:sz w:val="28"/>
                <w:szCs w:val="28"/>
                <w:lang w:val="en-US" w:eastAsia="zh-CN" w:bidi="ar-SA"/>
              </w:rPr>
            </w:pPr>
            <w:r>
              <w:rPr>
                <w:rFonts w:hint="eastAsia" w:ascii="仿宋_GB2312" w:hAnsi="仿宋_GB2312" w:eastAsia="仿宋_GB2312" w:cs="仿宋_GB2312"/>
                <w:snapToGrid w:val="0"/>
                <w:color w:val="000000"/>
                <w:sz w:val="28"/>
                <w:szCs w:val="28"/>
              </w:rPr>
              <w:t>授课年级</w:t>
            </w:r>
          </w:p>
        </w:tc>
        <w:tc>
          <w:tcPr>
            <w:tcW w:w="2193" w:type="dxa"/>
          </w:tcPr>
          <w:p w14:paraId="4B97DB79">
            <w:pPr>
              <w:keepNext w:val="0"/>
              <w:keepLines w:val="0"/>
              <w:pageBreakBefore w:val="0"/>
              <w:widowControl w:val="0"/>
              <w:kinsoku/>
              <w:wordWrap/>
              <w:overflowPunct/>
              <w:topLinePunct w:val="0"/>
              <w:autoSpaceDE/>
              <w:autoSpaceDN/>
              <w:bidi w:val="0"/>
              <w:adjustRightInd/>
              <w:snapToGrid/>
              <w:spacing w:line="400" w:lineRule="exact"/>
              <w:ind w:right="0"/>
              <w:textAlignment w:val="auto"/>
              <w:rPr>
                <w:rFonts w:hint="eastAsia" w:ascii="仿宋_GB2312" w:hAnsi="仿宋_GB2312" w:eastAsia="仿宋_GB2312" w:cs="仿宋_GB2312"/>
                <w:color w:val="000000"/>
                <w:sz w:val="28"/>
                <w:szCs w:val="28"/>
                <w:vertAlign w:val="baseline"/>
              </w:rPr>
            </w:pPr>
          </w:p>
        </w:tc>
      </w:tr>
      <w:tr w14:paraId="1618E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0" w:type="auto"/>
            <w:shd w:val="clear" w:color="auto" w:fill="auto"/>
            <w:vAlign w:val="center"/>
          </w:tcPr>
          <w:p w14:paraId="4361580A">
            <w:pPr>
              <w:keepNext w:val="0"/>
              <w:keepLines w:val="0"/>
              <w:pageBreakBefore w:val="0"/>
              <w:widowControl w:val="0"/>
              <w:kinsoku/>
              <w:wordWrap/>
              <w:overflowPunct/>
              <w:topLinePunct w:val="0"/>
              <w:autoSpaceDE/>
              <w:autoSpaceDN/>
              <w:bidi w:val="0"/>
              <w:adjustRightInd/>
              <w:snapToGrid/>
              <w:spacing w:line="360" w:lineRule="exact"/>
              <w:ind w:right="0" w:rightChars="0"/>
              <w:jc w:val="center"/>
              <w:textAlignment w:val="auto"/>
              <w:rPr>
                <w:rFonts w:hint="eastAsia" w:ascii="仿宋_GB2312" w:hAnsi="仿宋_GB2312" w:eastAsia="仿宋_GB2312" w:cs="仿宋_GB2312"/>
                <w:snapToGrid w:val="0"/>
                <w:color w:val="000000"/>
                <w:kern w:val="2"/>
                <w:sz w:val="28"/>
                <w:szCs w:val="28"/>
                <w:lang w:val="en-US" w:eastAsia="zh-CN" w:bidi="ar-SA"/>
              </w:rPr>
            </w:pPr>
            <w:r>
              <w:rPr>
                <w:rFonts w:hint="eastAsia" w:ascii="仿宋_GB2312" w:hAnsi="仿宋_GB2312" w:eastAsia="仿宋_GB2312" w:cs="仿宋_GB2312"/>
                <w:snapToGrid w:val="0"/>
                <w:color w:val="000000"/>
                <w:sz w:val="28"/>
                <w:szCs w:val="28"/>
              </w:rPr>
              <w:t>教材类型</w:t>
            </w:r>
          </w:p>
        </w:tc>
        <w:tc>
          <w:tcPr>
            <w:tcW w:w="7250" w:type="dxa"/>
            <w:gridSpan w:val="3"/>
            <w:shd w:val="clear" w:color="auto" w:fill="auto"/>
            <w:vAlign w:val="center"/>
          </w:tcPr>
          <w:p w14:paraId="63AD3418">
            <w:pPr>
              <w:keepNext w:val="0"/>
              <w:keepLines w:val="0"/>
              <w:pageBreakBefore w:val="0"/>
              <w:widowControl w:val="0"/>
              <w:kinsoku/>
              <w:wordWrap/>
              <w:overflowPunct/>
              <w:topLinePunct w:val="0"/>
              <w:autoSpaceDE/>
              <w:autoSpaceDN/>
              <w:bidi w:val="0"/>
              <w:adjustRightInd/>
              <w:snapToGrid/>
              <w:spacing w:line="360" w:lineRule="exact"/>
              <w:ind w:right="0" w:rightChars="0"/>
              <w:jc w:val="left"/>
              <w:textAlignment w:val="auto"/>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drawing>
                <wp:inline distT="0" distB="0" distL="0" distR="0">
                  <wp:extent cx="128905" cy="130810"/>
                  <wp:effectExtent l="0" t="0" r="4445" b="2540"/>
                  <wp:docPr id="2" name="IM 7"/>
                  <wp:cNvGraphicFramePr/>
                  <a:graphic xmlns:a="http://schemas.openxmlformats.org/drawingml/2006/main">
                    <a:graphicData uri="http://schemas.openxmlformats.org/drawingml/2006/picture">
                      <pic:pic xmlns:pic="http://schemas.openxmlformats.org/drawingml/2006/picture">
                        <pic:nvPicPr>
                          <pic:cNvPr id="2" name="IM 7"/>
                          <pic:cNvPicPr/>
                        </pic:nvPicPr>
                        <pic:blipFill>
                          <a:blip r:embed="rId6"/>
                          <a:stretch>
                            <a:fillRect/>
                          </a:stretch>
                        </pic:blipFill>
                        <pic:spPr>
                          <a:xfrm>
                            <a:off x="0" y="0"/>
                            <a:ext cx="128916" cy="130878"/>
                          </a:xfrm>
                          <a:prstGeom prst="rect">
                            <a:avLst/>
                          </a:prstGeom>
                        </pic:spPr>
                      </pic:pic>
                    </a:graphicData>
                  </a:graphic>
                </wp:inline>
              </w:drawing>
            </w:r>
            <w:r>
              <w:rPr>
                <w:rFonts w:hint="eastAsia" w:ascii="仿宋_GB2312" w:hAnsi="仿宋_GB2312" w:eastAsia="仿宋_GB2312" w:cs="仿宋_GB2312"/>
                <w:snapToGrid w:val="0"/>
                <w:color w:val="000000"/>
                <w:sz w:val="28"/>
                <w:szCs w:val="28"/>
              </w:rPr>
              <w:t>文本教材</w:t>
            </w:r>
            <w:r>
              <w:rPr>
                <w:rFonts w:hint="eastAsia" w:ascii="仿宋_GB2312" w:hAnsi="仿宋_GB2312" w:eastAsia="仿宋_GB2312" w:cs="仿宋_GB2312"/>
                <w:snapToGrid w:val="0"/>
                <w:color w:val="000000"/>
                <w:sz w:val="28"/>
                <w:szCs w:val="28"/>
                <w:lang w:val="en-US" w:eastAsia="zh-CN"/>
              </w:rPr>
              <w:t xml:space="preserve">  </w:t>
            </w:r>
            <w:r>
              <w:rPr>
                <w:rFonts w:hint="eastAsia" w:ascii="仿宋_GB2312" w:hAnsi="仿宋_GB2312" w:eastAsia="仿宋_GB2312" w:cs="仿宋_GB2312"/>
                <w:snapToGrid w:val="0"/>
                <w:color w:val="000000"/>
                <w:sz w:val="28"/>
                <w:szCs w:val="28"/>
              </w:rPr>
              <w:drawing>
                <wp:inline distT="0" distB="0" distL="0" distR="0">
                  <wp:extent cx="128905" cy="130810"/>
                  <wp:effectExtent l="0" t="0" r="4445" b="2540"/>
                  <wp:docPr id="4" name="IM 7"/>
                  <wp:cNvGraphicFramePr/>
                  <a:graphic xmlns:a="http://schemas.openxmlformats.org/drawingml/2006/main">
                    <a:graphicData uri="http://schemas.openxmlformats.org/drawingml/2006/picture">
                      <pic:pic xmlns:pic="http://schemas.openxmlformats.org/drawingml/2006/picture">
                        <pic:nvPicPr>
                          <pic:cNvPr id="4" name="IM 7"/>
                          <pic:cNvPicPr/>
                        </pic:nvPicPr>
                        <pic:blipFill>
                          <a:blip r:embed="rId6"/>
                          <a:stretch>
                            <a:fillRect/>
                          </a:stretch>
                        </pic:blipFill>
                        <pic:spPr>
                          <a:xfrm>
                            <a:off x="0" y="0"/>
                            <a:ext cx="128916" cy="130878"/>
                          </a:xfrm>
                          <a:prstGeom prst="rect">
                            <a:avLst/>
                          </a:prstGeom>
                        </pic:spPr>
                      </pic:pic>
                    </a:graphicData>
                  </a:graphic>
                </wp:inline>
              </w:drawing>
            </w:r>
            <w:r>
              <w:rPr>
                <w:rFonts w:hint="eastAsia" w:ascii="仿宋_GB2312" w:hAnsi="仿宋_GB2312" w:eastAsia="仿宋_GB2312" w:cs="仿宋_GB2312"/>
                <w:snapToGrid w:val="0"/>
                <w:color w:val="000000"/>
                <w:sz w:val="28"/>
                <w:szCs w:val="28"/>
              </w:rPr>
              <w:t>电子教材</w:t>
            </w:r>
            <w:r>
              <w:rPr>
                <w:rFonts w:hint="eastAsia" w:ascii="仿宋_GB2312" w:hAnsi="仿宋_GB2312" w:eastAsia="仿宋_GB2312" w:cs="仿宋_GB2312"/>
                <w:snapToGrid w:val="0"/>
                <w:color w:val="000000"/>
                <w:sz w:val="28"/>
                <w:szCs w:val="28"/>
                <w:lang w:val="en-US" w:eastAsia="zh-CN"/>
              </w:rPr>
              <w:t xml:space="preserve">     </w:t>
            </w:r>
            <w:r>
              <w:rPr>
                <w:rFonts w:hint="eastAsia" w:ascii="仿宋_GB2312" w:hAnsi="仿宋_GB2312" w:eastAsia="仿宋_GB2312" w:cs="仿宋_GB2312"/>
                <w:snapToGrid w:val="0"/>
                <w:color w:val="000000"/>
                <w:sz w:val="28"/>
                <w:szCs w:val="28"/>
              </w:rPr>
              <w:drawing>
                <wp:inline distT="0" distB="0" distL="0" distR="0">
                  <wp:extent cx="128905" cy="130810"/>
                  <wp:effectExtent l="0" t="0" r="4445" b="2540"/>
                  <wp:docPr id="5" name="IM 8"/>
                  <wp:cNvGraphicFramePr/>
                  <a:graphic xmlns:a="http://schemas.openxmlformats.org/drawingml/2006/main">
                    <a:graphicData uri="http://schemas.openxmlformats.org/drawingml/2006/picture">
                      <pic:pic xmlns:pic="http://schemas.openxmlformats.org/drawingml/2006/picture">
                        <pic:nvPicPr>
                          <pic:cNvPr id="5" name="IM 8"/>
                          <pic:cNvPicPr/>
                        </pic:nvPicPr>
                        <pic:blipFill>
                          <a:blip r:embed="rId6"/>
                          <a:stretch>
                            <a:fillRect/>
                          </a:stretch>
                        </pic:blipFill>
                        <pic:spPr>
                          <a:xfrm>
                            <a:off x="0" y="0"/>
                            <a:ext cx="128916" cy="130878"/>
                          </a:xfrm>
                          <a:prstGeom prst="rect">
                            <a:avLst/>
                          </a:prstGeom>
                        </pic:spPr>
                      </pic:pic>
                    </a:graphicData>
                  </a:graphic>
                </wp:inline>
              </w:drawing>
            </w:r>
            <w:r>
              <w:rPr>
                <w:rFonts w:hint="eastAsia" w:ascii="仿宋_GB2312" w:hAnsi="仿宋_GB2312" w:eastAsia="仿宋_GB2312" w:cs="仿宋_GB2312"/>
                <w:snapToGrid w:val="0"/>
                <w:color w:val="000000"/>
                <w:sz w:val="28"/>
                <w:szCs w:val="28"/>
              </w:rPr>
              <w:t>其他</w:t>
            </w:r>
          </w:p>
        </w:tc>
      </w:tr>
      <w:tr w14:paraId="780A2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0" w:type="auto"/>
            <w:shd w:val="clear" w:color="auto" w:fill="auto"/>
            <w:vAlign w:val="center"/>
          </w:tcPr>
          <w:p w14:paraId="19BCFAA4">
            <w:pPr>
              <w:keepNext w:val="0"/>
              <w:keepLines w:val="0"/>
              <w:pageBreakBefore w:val="0"/>
              <w:widowControl w:val="0"/>
              <w:kinsoku/>
              <w:wordWrap/>
              <w:overflowPunct/>
              <w:topLinePunct w:val="0"/>
              <w:autoSpaceDE/>
              <w:autoSpaceDN/>
              <w:bidi w:val="0"/>
              <w:adjustRightInd/>
              <w:snapToGrid/>
              <w:spacing w:line="360" w:lineRule="exact"/>
              <w:ind w:right="0" w:rightChars="0"/>
              <w:jc w:val="center"/>
              <w:textAlignment w:val="auto"/>
              <w:rPr>
                <w:rFonts w:hint="eastAsia" w:ascii="仿宋_GB2312" w:hAnsi="仿宋_GB2312" w:eastAsia="仿宋_GB2312" w:cs="仿宋_GB2312"/>
                <w:snapToGrid w:val="0"/>
                <w:color w:val="000000"/>
                <w:kern w:val="2"/>
                <w:sz w:val="28"/>
                <w:szCs w:val="28"/>
                <w:lang w:val="en-US" w:eastAsia="zh-CN" w:bidi="ar-SA"/>
              </w:rPr>
            </w:pPr>
            <w:r>
              <w:rPr>
                <w:rFonts w:hint="eastAsia" w:ascii="仿宋_GB2312" w:hAnsi="仿宋_GB2312" w:eastAsia="仿宋_GB2312" w:cs="仿宋_GB2312"/>
                <w:snapToGrid w:val="0"/>
                <w:color w:val="000000"/>
                <w:sz w:val="28"/>
                <w:szCs w:val="28"/>
              </w:rPr>
              <w:t>教材语言</w:t>
            </w:r>
          </w:p>
        </w:tc>
        <w:tc>
          <w:tcPr>
            <w:tcW w:w="7250" w:type="dxa"/>
            <w:gridSpan w:val="3"/>
            <w:shd w:val="clear" w:color="auto" w:fill="auto"/>
            <w:vAlign w:val="center"/>
          </w:tcPr>
          <w:p w14:paraId="4368B069">
            <w:pPr>
              <w:keepNext w:val="0"/>
              <w:keepLines w:val="0"/>
              <w:pageBreakBefore w:val="0"/>
              <w:widowControl w:val="0"/>
              <w:kinsoku/>
              <w:wordWrap/>
              <w:overflowPunct/>
              <w:topLinePunct w:val="0"/>
              <w:autoSpaceDE/>
              <w:autoSpaceDN/>
              <w:bidi w:val="0"/>
              <w:adjustRightInd/>
              <w:snapToGrid/>
              <w:spacing w:line="360" w:lineRule="exact"/>
              <w:ind w:right="0" w:rightChars="0"/>
              <w:jc w:val="left"/>
              <w:textAlignment w:val="auto"/>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drawing>
                <wp:inline distT="0" distB="0" distL="0" distR="0">
                  <wp:extent cx="128905" cy="130810"/>
                  <wp:effectExtent l="0" t="0" r="4445" b="2540"/>
                  <wp:docPr id="6" name="IM 9"/>
                  <wp:cNvGraphicFramePr/>
                  <a:graphic xmlns:a="http://schemas.openxmlformats.org/drawingml/2006/main">
                    <a:graphicData uri="http://schemas.openxmlformats.org/drawingml/2006/picture">
                      <pic:pic xmlns:pic="http://schemas.openxmlformats.org/drawingml/2006/picture">
                        <pic:nvPicPr>
                          <pic:cNvPr id="6" name="IM 9"/>
                          <pic:cNvPicPr/>
                        </pic:nvPicPr>
                        <pic:blipFill>
                          <a:blip r:embed="rId6"/>
                          <a:stretch>
                            <a:fillRect/>
                          </a:stretch>
                        </pic:blipFill>
                        <pic:spPr>
                          <a:xfrm>
                            <a:off x="0" y="0"/>
                            <a:ext cx="128916" cy="130878"/>
                          </a:xfrm>
                          <a:prstGeom prst="rect">
                            <a:avLst/>
                          </a:prstGeom>
                        </pic:spPr>
                      </pic:pic>
                    </a:graphicData>
                  </a:graphic>
                </wp:inline>
              </w:drawing>
            </w:r>
            <w:r>
              <w:rPr>
                <w:rFonts w:hint="eastAsia" w:ascii="仿宋_GB2312" w:hAnsi="仿宋_GB2312" w:eastAsia="仿宋_GB2312" w:cs="仿宋_GB2312"/>
                <w:snapToGrid w:val="0"/>
                <w:color w:val="000000"/>
                <w:sz w:val="28"/>
                <w:szCs w:val="28"/>
              </w:rPr>
              <w:t>中文</w:t>
            </w:r>
            <w:r>
              <w:rPr>
                <w:rFonts w:hint="eastAsia" w:ascii="仿宋_GB2312" w:hAnsi="仿宋_GB2312" w:eastAsia="仿宋_GB2312" w:cs="仿宋_GB2312"/>
                <w:snapToGrid w:val="0"/>
                <w:color w:val="000000"/>
                <w:sz w:val="28"/>
                <w:szCs w:val="28"/>
                <w:lang w:val="en-US" w:eastAsia="zh-CN"/>
              </w:rPr>
              <w:t xml:space="preserve">      </w:t>
            </w:r>
            <w:r>
              <w:rPr>
                <w:rFonts w:hint="eastAsia" w:ascii="仿宋_GB2312" w:hAnsi="仿宋_GB2312" w:eastAsia="仿宋_GB2312" w:cs="仿宋_GB2312"/>
                <w:snapToGrid w:val="0"/>
                <w:color w:val="000000"/>
                <w:sz w:val="28"/>
                <w:szCs w:val="28"/>
              </w:rPr>
              <w:drawing>
                <wp:inline distT="0" distB="0" distL="0" distR="0">
                  <wp:extent cx="128905" cy="130810"/>
                  <wp:effectExtent l="0" t="0" r="4445" b="2540"/>
                  <wp:docPr id="7" name="IM 10"/>
                  <wp:cNvGraphicFramePr/>
                  <a:graphic xmlns:a="http://schemas.openxmlformats.org/drawingml/2006/main">
                    <a:graphicData uri="http://schemas.openxmlformats.org/drawingml/2006/picture">
                      <pic:pic xmlns:pic="http://schemas.openxmlformats.org/drawingml/2006/picture">
                        <pic:nvPicPr>
                          <pic:cNvPr id="7" name="IM 10"/>
                          <pic:cNvPicPr/>
                        </pic:nvPicPr>
                        <pic:blipFill>
                          <a:blip r:embed="rId7"/>
                          <a:stretch>
                            <a:fillRect/>
                          </a:stretch>
                        </pic:blipFill>
                        <pic:spPr>
                          <a:xfrm>
                            <a:off x="0" y="0"/>
                            <a:ext cx="128916" cy="130878"/>
                          </a:xfrm>
                          <a:prstGeom prst="rect">
                            <a:avLst/>
                          </a:prstGeom>
                        </pic:spPr>
                      </pic:pic>
                    </a:graphicData>
                  </a:graphic>
                </wp:inline>
              </w:drawing>
            </w:r>
            <w:r>
              <w:rPr>
                <w:rFonts w:hint="eastAsia" w:ascii="仿宋_GB2312" w:hAnsi="仿宋_GB2312" w:eastAsia="仿宋_GB2312" w:cs="仿宋_GB2312"/>
                <w:snapToGrid w:val="0"/>
                <w:color w:val="000000"/>
                <w:sz w:val="28"/>
                <w:szCs w:val="28"/>
              </w:rPr>
              <w:t>境外原版</w:t>
            </w:r>
            <w:r>
              <w:rPr>
                <w:rFonts w:hint="eastAsia" w:ascii="仿宋_GB2312" w:hAnsi="仿宋_GB2312" w:eastAsia="仿宋_GB2312" w:cs="仿宋_GB2312"/>
                <w:snapToGrid w:val="0"/>
                <w:color w:val="000000"/>
                <w:sz w:val="28"/>
                <w:szCs w:val="28"/>
                <w:lang w:val="en-US" w:eastAsia="zh-CN"/>
              </w:rPr>
              <w:t xml:space="preserve">     </w:t>
            </w:r>
            <w:r>
              <w:rPr>
                <w:rFonts w:hint="eastAsia" w:ascii="仿宋_GB2312" w:hAnsi="仿宋_GB2312" w:eastAsia="仿宋_GB2312" w:cs="仿宋_GB2312"/>
                <w:snapToGrid w:val="0"/>
                <w:color w:val="000000"/>
                <w:sz w:val="28"/>
                <w:szCs w:val="28"/>
              </w:rPr>
              <w:drawing>
                <wp:inline distT="0" distB="0" distL="0" distR="0">
                  <wp:extent cx="128905" cy="130810"/>
                  <wp:effectExtent l="0" t="0" r="4445" b="2540"/>
                  <wp:docPr id="8" name="IM 11"/>
                  <wp:cNvGraphicFramePr/>
                  <a:graphic xmlns:a="http://schemas.openxmlformats.org/drawingml/2006/main">
                    <a:graphicData uri="http://schemas.openxmlformats.org/drawingml/2006/picture">
                      <pic:pic xmlns:pic="http://schemas.openxmlformats.org/drawingml/2006/picture">
                        <pic:nvPicPr>
                          <pic:cNvPr id="8" name="IM 11"/>
                          <pic:cNvPicPr/>
                        </pic:nvPicPr>
                        <pic:blipFill>
                          <a:blip r:embed="rId7"/>
                          <a:stretch>
                            <a:fillRect/>
                          </a:stretch>
                        </pic:blipFill>
                        <pic:spPr>
                          <a:xfrm>
                            <a:off x="0" y="0"/>
                            <a:ext cx="128916" cy="130878"/>
                          </a:xfrm>
                          <a:prstGeom prst="rect">
                            <a:avLst/>
                          </a:prstGeom>
                        </pic:spPr>
                      </pic:pic>
                    </a:graphicData>
                  </a:graphic>
                </wp:inline>
              </w:drawing>
            </w:r>
            <w:r>
              <w:rPr>
                <w:rFonts w:hint="eastAsia" w:ascii="仿宋_GB2312" w:hAnsi="仿宋_GB2312" w:eastAsia="仿宋_GB2312" w:cs="仿宋_GB2312"/>
                <w:snapToGrid w:val="0"/>
                <w:color w:val="000000"/>
                <w:sz w:val="28"/>
                <w:szCs w:val="28"/>
              </w:rPr>
              <w:t>境外影印</w:t>
            </w:r>
            <w:r>
              <w:rPr>
                <w:rFonts w:hint="eastAsia" w:ascii="仿宋_GB2312" w:hAnsi="仿宋_GB2312" w:eastAsia="仿宋_GB2312" w:cs="仿宋_GB2312"/>
                <w:snapToGrid w:val="0"/>
                <w:color w:val="000000"/>
                <w:sz w:val="28"/>
                <w:szCs w:val="28"/>
                <w:lang w:val="en-US" w:eastAsia="zh-CN"/>
              </w:rPr>
              <w:t xml:space="preserve">     </w:t>
            </w:r>
            <w:r>
              <w:rPr>
                <w:rFonts w:hint="eastAsia" w:ascii="仿宋_GB2312" w:hAnsi="仿宋_GB2312" w:eastAsia="仿宋_GB2312" w:cs="仿宋_GB2312"/>
                <w:snapToGrid w:val="0"/>
                <w:color w:val="000000"/>
                <w:sz w:val="28"/>
                <w:szCs w:val="28"/>
              </w:rPr>
              <w:drawing>
                <wp:inline distT="0" distB="0" distL="0" distR="0">
                  <wp:extent cx="128905" cy="130810"/>
                  <wp:effectExtent l="0" t="0" r="4445" b="2540"/>
                  <wp:docPr id="9" name="IM 12"/>
                  <wp:cNvGraphicFramePr/>
                  <a:graphic xmlns:a="http://schemas.openxmlformats.org/drawingml/2006/main">
                    <a:graphicData uri="http://schemas.openxmlformats.org/drawingml/2006/picture">
                      <pic:pic xmlns:pic="http://schemas.openxmlformats.org/drawingml/2006/picture">
                        <pic:nvPicPr>
                          <pic:cNvPr id="9" name="IM 12"/>
                          <pic:cNvPicPr/>
                        </pic:nvPicPr>
                        <pic:blipFill>
                          <a:blip r:embed="rId7"/>
                          <a:stretch>
                            <a:fillRect/>
                          </a:stretch>
                        </pic:blipFill>
                        <pic:spPr>
                          <a:xfrm>
                            <a:off x="0" y="0"/>
                            <a:ext cx="128916" cy="130878"/>
                          </a:xfrm>
                          <a:prstGeom prst="rect">
                            <a:avLst/>
                          </a:prstGeom>
                        </pic:spPr>
                      </pic:pic>
                    </a:graphicData>
                  </a:graphic>
                </wp:inline>
              </w:drawing>
            </w:r>
            <w:r>
              <w:rPr>
                <w:rFonts w:hint="eastAsia" w:ascii="仿宋_GB2312" w:hAnsi="仿宋_GB2312" w:eastAsia="仿宋_GB2312" w:cs="仿宋_GB2312"/>
                <w:snapToGrid w:val="0"/>
                <w:color w:val="000000"/>
                <w:sz w:val="28"/>
                <w:szCs w:val="28"/>
              </w:rPr>
              <w:t>境外翻译</w:t>
            </w:r>
          </w:p>
        </w:tc>
      </w:tr>
      <w:tr w14:paraId="0565A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0" w:type="auto"/>
            <w:shd w:val="clear" w:color="auto" w:fill="auto"/>
            <w:vAlign w:val="center"/>
          </w:tcPr>
          <w:p w14:paraId="69F9243C">
            <w:pPr>
              <w:keepNext w:val="0"/>
              <w:keepLines w:val="0"/>
              <w:pageBreakBefore w:val="0"/>
              <w:widowControl w:val="0"/>
              <w:kinsoku/>
              <w:wordWrap/>
              <w:overflowPunct/>
              <w:topLinePunct w:val="0"/>
              <w:autoSpaceDE/>
              <w:autoSpaceDN/>
              <w:bidi w:val="0"/>
              <w:adjustRightInd/>
              <w:snapToGrid/>
              <w:spacing w:line="360" w:lineRule="exact"/>
              <w:ind w:right="0" w:rightChars="0"/>
              <w:jc w:val="center"/>
              <w:textAlignment w:val="auto"/>
              <w:rPr>
                <w:rFonts w:hint="eastAsia" w:ascii="仿宋_GB2312" w:hAnsi="仿宋_GB2312" w:eastAsia="仿宋_GB2312" w:cs="仿宋_GB2312"/>
                <w:snapToGrid w:val="0"/>
                <w:color w:val="000000"/>
                <w:kern w:val="2"/>
                <w:sz w:val="28"/>
                <w:szCs w:val="28"/>
                <w:lang w:val="en-US" w:eastAsia="zh-CN" w:bidi="ar-SA"/>
              </w:rPr>
            </w:pPr>
            <w:r>
              <w:rPr>
                <w:rFonts w:hint="eastAsia" w:ascii="仿宋_GB2312" w:hAnsi="仿宋_GB2312" w:eastAsia="仿宋_GB2312" w:cs="仿宋_GB2312"/>
                <w:snapToGrid w:val="0"/>
                <w:color w:val="000000"/>
                <w:sz w:val="28"/>
                <w:szCs w:val="28"/>
              </w:rPr>
              <w:t>教材级别</w:t>
            </w:r>
          </w:p>
        </w:tc>
        <w:tc>
          <w:tcPr>
            <w:tcW w:w="7250" w:type="dxa"/>
            <w:gridSpan w:val="3"/>
            <w:shd w:val="clear" w:color="auto" w:fill="auto"/>
            <w:vAlign w:val="center"/>
          </w:tcPr>
          <w:p w14:paraId="737D8E0C">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drawing>
                <wp:inline distT="0" distB="0" distL="0" distR="0">
                  <wp:extent cx="128905" cy="130810"/>
                  <wp:effectExtent l="0" t="0" r="4445" b="2540"/>
                  <wp:docPr id="10" name="IM 13"/>
                  <wp:cNvGraphicFramePr/>
                  <a:graphic xmlns:a="http://schemas.openxmlformats.org/drawingml/2006/main">
                    <a:graphicData uri="http://schemas.openxmlformats.org/drawingml/2006/picture">
                      <pic:pic xmlns:pic="http://schemas.openxmlformats.org/drawingml/2006/picture">
                        <pic:nvPicPr>
                          <pic:cNvPr id="10" name="IM 13"/>
                          <pic:cNvPicPr/>
                        </pic:nvPicPr>
                        <pic:blipFill>
                          <a:blip r:embed="rId8"/>
                          <a:stretch>
                            <a:fillRect/>
                          </a:stretch>
                        </pic:blipFill>
                        <pic:spPr>
                          <a:xfrm>
                            <a:off x="0" y="0"/>
                            <a:ext cx="128916" cy="130878"/>
                          </a:xfrm>
                          <a:prstGeom prst="rect">
                            <a:avLst/>
                          </a:prstGeom>
                        </pic:spPr>
                      </pic:pic>
                    </a:graphicData>
                  </a:graphic>
                </wp:inline>
              </w:drawing>
            </w:r>
            <w:r>
              <w:rPr>
                <w:rFonts w:hint="eastAsia" w:ascii="仿宋_GB2312" w:hAnsi="仿宋_GB2312" w:eastAsia="仿宋_GB2312" w:cs="仿宋_GB2312"/>
                <w:snapToGrid w:val="0"/>
                <w:color w:val="000000"/>
                <w:sz w:val="28"/>
                <w:szCs w:val="28"/>
              </w:rPr>
              <w:t>“马工程”重点教材</w:t>
            </w:r>
          </w:p>
          <w:p w14:paraId="3F801E17">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drawing>
                <wp:inline distT="0" distB="0" distL="0" distR="0">
                  <wp:extent cx="128905" cy="130810"/>
                  <wp:effectExtent l="0" t="0" r="4445" b="2540"/>
                  <wp:docPr id="11" name="IM 14"/>
                  <wp:cNvGraphicFramePr/>
                  <a:graphic xmlns:a="http://schemas.openxmlformats.org/drawingml/2006/main">
                    <a:graphicData uri="http://schemas.openxmlformats.org/drawingml/2006/picture">
                      <pic:pic xmlns:pic="http://schemas.openxmlformats.org/drawingml/2006/picture">
                        <pic:nvPicPr>
                          <pic:cNvPr id="11" name="IM 14"/>
                          <pic:cNvPicPr/>
                        </pic:nvPicPr>
                        <pic:blipFill>
                          <a:blip r:embed="rId9"/>
                          <a:stretch>
                            <a:fillRect/>
                          </a:stretch>
                        </pic:blipFill>
                        <pic:spPr>
                          <a:xfrm>
                            <a:off x="0" y="0"/>
                            <a:ext cx="128916" cy="130878"/>
                          </a:xfrm>
                          <a:prstGeom prst="rect">
                            <a:avLst/>
                          </a:prstGeom>
                        </pic:spPr>
                      </pic:pic>
                    </a:graphicData>
                  </a:graphic>
                </wp:inline>
              </w:drawing>
            </w:r>
            <w:r>
              <w:rPr>
                <w:rFonts w:hint="eastAsia" w:ascii="仿宋_GB2312" w:hAnsi="仿宋_GB2312" w:eastAsia="仿宋_GB2312" w:cs="仿宋_GB2312"/>
                <w:snapToGrid w:val="0"/>
                <w:color w:val="000000"/>
                <w:sz w:val="28"/>
                <w:szCs w:val="28"/>
              </w:rPr>
              <w:t xml:space="preserve">国家级规划教材 </w:t>
            </w:r>
            <w:r>
              <w:rPr>
                <w:rFonts w:hint="eastAsia" w:ascii="仿宋_GB2312" w:hAnsi="仿宋_GB2312" w:eastAsia="仿宋_GB2312" w:cs="仿宋_GB2312"/>
                <w:snapToGrid w:val="0"/>
                <w:color w:val="000000"/>
                <w:sz w:val="28"/>
                <w:szCs w:val="28"/>
                <w:lang w:val="en-US" w:eastAsia="zh-CN"/>
              </w:rPr>
              <w:t xml:space="preserve">             </w:t>
            </w:r>
            <w:r>
              <w:rPr>
                <w:rFonts w:hint="eastAsia" w:ascii="仿宋_GB2312" w:hAnsi="仿宋_GB2312" w:eastAsia="仿宋_GB2312" w:cs="仿宋_GB2312"/>
                <w:snapToGrid w:val="0"/>
                <w:color w:val="000000"/>
                <w:sz w:val="28"/>
                <w:szCs w:val="28"/>
              </w:rPr>
              <w:t xml:space="preserve">  </w:t>
            </w:r>
            <w:r>
              <w:rPr>
                <w:rFonts w:hint="eastAsia" w:ascii="仿宋_GB2312" w:hAnsi="仿宋_GB2312" w:eastAsia="仿宋_GB2312" w:cs="仿宋_GB2312"/>
                <w:snapToGrid w:val="0"/>
                <w:color w:val="000000"/>
                <w:sz w:val="28"/>
                <w:szCs w:val="28"/>
              </w:rPr>
              <w:drawing>
                <wp:inline distT="0" distB="0" distL="0" distR="0">
                  <wp:extent cx="128905" cy="130810"/>
                  <wp:effectExtent l="0" t="0" r="4445" b="2540"/>
                  <wp:docPr id="12" name="IM 15"/>
                  <wp:cNvGraphicFramePr/>
                  <a:graphic xmlns:a="http://schemas.openxmlformats.org/drawingml/2006/main">
                    <a:graphicData uri="http://schemas.openxmlformats.org/drawingml/2006/picture">
                      <pic:pic xmlns:pic="http://schemas.openxmlformats.org/drawingml/2006/picture">
                        <pic:nvPicPr>
                          <pic:cNvPr id="12" name="IM 15"/>
                          <pic:cNvPicPr/>
                        </pic:nvPicPr>
                        <pic:blipFill>
                          <a:blip r:embed="rId10"/>
                          <a:stretch>
                            <a:fillRect/>
                          </a:stretch>
                        </pic:blipFill>
                        <pic:spPr>
                          <a:xfrm>
                            <a:off x="0" y="0"/>
                            <a:ext cx="128916" cy="130878"/>
                          </a:xfrm>
                          <a:prstGeom prst="rect">
                            <a:avLst/>
                          </a:prstGeom>
                        </pic:spPr>
                      </pic:pic>
                    </a:graphicData>
                  </a:graphic>
                </wp:inline>
              </w:drawing>
            </w:r>
            <w:r>
              <w:rPr>
                <w:rFonts w:hint="eastAsia" w:ascii="仿宋_GB2312" w:hAnsi="仿宋_GB2312" w:eastAsia="仿宋_GB2312" w:cs="仿宋_GB2312"/>
                <w:snapToGrid w:val="0"/>
                <w:color w:val="000000"/>
                <w:sz w:val="28"/>
                <w:szCs w:val="28"/>
              </w:rPr>
              <w:t>省部级规划教材</w:t>
            </w:r>
          </w:p>
          <w:p w14:paraId="59CCCF47">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hint="eastAsia" w:ascii="仿宋_GB2312" w:hAnsi="仿宋_GB2312" w:eastAsia="仿宋_GB2312" w:cs="仿宋_GB2312"/>
                <w:snapToGrid w:val="0"/>
                <w:color w:val="000000"/>
                <w:sz w:val="28"/>
                <w:szCs w:val="28"/>
                <w:u w:val="single"/>
              </w:rPr>
            </w:pPr>
            <w:r>
              <w:rPr>
                <w:rFonts w:hint="eastAsia" w:ascii="仿宋_GB2312" w:hAnsi="仿宋_GB2312" w:eastAsia="仿宋_GB2312" w:cs="仿宋_GB2312"/>
                <w:snapToGrid w:val="0"/>
                <w:color w:val="000000"/>
                <w:sz w:val="28"/>
                <w:szCs w:val="28"/>
              </w:rPr>
              <w:drawing>
                <wp:inline distT="0" distB="0" distL="0" distR="0">
                  <wp:extent cx="128905" cy="130810"/>
                  <wp:effectExtent l="0" t="0" r="4445" b="2540"/>
                  <wp:docPr id="13" name="IM 16"/>
                  <wp:cNvGraphicFramePr/>
                  <a:graphic xmlns:a="http://schemas.openxmlformats.org/drawingml/2006/main">
                    <a:graphicData uri="http://schemas.openxmlformats.org/drawingml/2006/picture">
                      <pic:pic xmlns:pic="http://schemas.openxmlformats.org/drawingml/2006/picture">
                        <pic:nvPicPr>
                          <pic:cNvPr id="13" name="IM 16"/>
                          <pic:cNvPicPr/>
                        </pic:nvPicPr>
                        <pic:blipFill>
                          <a:blip r:embed="rId6"/>
                          <a:stretch>
                            <a:fillRect/>
                          </a:stretch>
                        </pic:blipFill>
                        <pic:spPr>
                          <a:xfrm>
                            <a:off x="0" y="0"/>
                            <a:ext cx="128916" cy="130878"/>
                          </a:xfrm>
                          <a:prstGeom prst="rect">
                            <a:avLst/>
                          </a:prstGeom>
                        </pic:spPr>
                      </pic:pic>
                    </a:graphicData>
                  </a:graphic>
                </wp:inline>
              </w:drawing>
            </w:r>
            <w:r>
              <w:rPr>
                <w:rFonts w:hint="eastAsia" w:ascii="仿宋_GB2312" w:hAnsi="仿宋_GB2312" w:eastAsia="仿宋_GB2312" w:cs="仿宋_GB2312"/>
                <w:snapToGrid w:val="0"/>
                <w:color w:val="000000"/>
                <w:sz w:val="28"/>
                <w:szCs w:val="28"/>
              </w:rPr>
              <w:t>获奖教材</w:t>
            </w:r>
            <w:r>
              <w:rPr>
                <w:rFonts w:hint="eastAsia" w:ascii="仿宋_GB2312" w:hAnsi="仿宋_GB2312" w:eastAsia="仿宋_GB2312" w:cs="仿宋_GB2312"/>
                <w:snapToGrid w:val="0"/>
                <w:color w:val="000000"/>
                <w:sz w:val="28"/>
                <w:szCs w:val="28"/>
                <w:lang w:val="en-US" w:eastAsia="zh-CN"/>
              </w:rPr>
              <w:t xml:space="preserve">   </w:t>
            </w:r>
            <w:r>
              <w:rPr>
                <w:rFonts w:hint="eastAsia" w:ascii="仿宋_GB2312" w:hAnsi="仿宋_GB2312" w:eastAsia="仿宋_GB2312" w:cs="仿宋_GB2312"/>
                <w:snapToGrid w:val="0"/>
                <w:color w:val="000000"/>
                <w:sz w:val="28"/>
                <w:szCs w:val="28"/>
              </w:rPr>
              <w:t>获奖情况</w:t>
            </w:r>
            <w:r>
              <w:rPr>
                <w:rFonts w:hint="eastAsia" w:ascii="仿宋_GB2312" w:hAnsi="仿宋_GB2312" w:eastAsia="仿宋_GB2312" w:cs="仿宋_GB2312"/>
                <w:snapToGrid w:val="0"/>
                <w:color w:val="000000"/>
                <w:sz w:val="28"/>
                <w:szCs w:val="28"/>
                <w:u w:val="single"/>
              </w:rPr>
              <w:t xml:space="preserve">        </w:t>
            </w:r>
            <w:r>
              <w:rPr>
                <w:rFonts w:hint="eastAsia" w:ascii="仿宋_GB2312" w:hAnsi="仿宋_GB2312" w:eastAsia="仿宋_GB2312" w:cs="仿宋_GB2312"/>
                <w:snapToGrid w:val="0"/>
                <w:color w:val="000000"/>
                <w:sz w:val="28"/>
                <w:szCs w:val="28"/>
                <w:u w:val="single"/>
                <w:lang w:val="en-US" w:eastAsia="zh-CN"/>
              </w:rPr>
              <w:t xml:space="preserve">      </w:t>
            </w:r>
            <w:r>
              <w:rPr>
                <w:rFonts w:hint="eastAsia" w:ascii="仿宋_GB2312" w:hAnsi="仿宋_GB2312" w:eastAsia="仿宋_GB2312" w:cs="仿宋_GB2312"/>
                <w:snapToGrid w:val="0"/>
                <w:color w:val="000000"/>
                <w:sz w:val="28"/>
                <w:szCs w:val="28"/>
                <w:u w:val="single"/>
              </w:rPr>
              <w:t xml:space="preserve">       </w:t>
            </w:r>
          </w:p>
          <w:p w14:paraId="0881727E">
            <w:pPr>
              <w:keepNext w:val="0"/>
              <w:keepLines w:val="0"/>
              <w:pageBreakBefore w:val="0"/>
              <w:widowControl w:val="0"/>
              <w:kinsoku/>
              <w:wordWrap/>
              <w:overflowPunct/>
              <w:topLinePunct w:val="0"/>
              <w:autoSpaceDE/>
              <w:autoSpaceDN/>
              <w:bidi w:val="0"/>
              <w:adjustRightInd/>
              <w:snapToGrid/>
              <w:spacing w:line="360" w:lineRule="exact"/>
              <w:ind w:right="0" w:rightChars="0"/>
              <w:jc w:val="left"/>
              <w:textAlignment w:val="auto"/>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drawing>
                <wp:inline distT="0" distB="0" distL="0" distR="0">
                  <wp:extent cx="128905" cy="130810"/>
                  <wp:effectExtent l="0" t="0" r="4445" b="2540"/>
                  <wp:docPr id="14" name="IM 17"/>
                  <wp:cNvGraphicFramePr/>
                  <a:graphic xmlns:a="http://schemas.openxmlformats.org/drawingml/2006/main">
                    <a:graphicData uri="http://schemas.openxmlformats.org/drawingml/2006/picture">
                      <pic:pic xmlns:pic="http://schemas.openxmlformats.org/drawingml/2006/picture">
                        <pic:nvPicPr>
                          <pic:cNvPr id="14" name="IM 17"/>
                          <pic:cNvPicPr/>
                        </pic:nvPicPr>
                        <pic:blipFill>
                          <a:blip r:embed="rId8"/>
                          <a:stretch>
                            <a:fillRect/>
                          </a:stretch>
                        </pic:blipFill>
                        <pic:spPr>
                          <a:xfrm>
                            <a:off x="0" y="0"/>
                            <a:ext cx="128916" cy="130878"/>
                          </a:xfrm>
                          <a:prstGeom prst="rect">
                            <a:avLst/>
                          </a:prstGeom>
                        </pic:spPr>
                      </pic:pic>
                    </a:graphicData>
                  </a:graphic>
                </wp:inline>
              </w:drawing>
            </w:r>
            <w:r>
              <w:rPr>
                <w:rFonts w:hint="eastAsia" w:ascii="仿宋_GB2312" w:hAnsi="仿宋_GB2312" w:eastAsia="仿宋_GB2312" w:cs="仿宋_GB2312"/>
                <w:snapToGrid w:val="0"/>
                <w:color w:val="000000"/>
                <w:sz w:val="28"/>
                <w:szCs w:val="28"/>
              </w:rPr>
              <w:t>其他</w:t>
            </w:r>
            <w:r>
              <w:rPr>
                <w:rFonts w:hint="eastAsia" w:ascii="仿宋_GB2312" w:hAnsi="仿宋_GB2312" w:eastAsia="仿宋_GB2312" w:cs="仿宋_GB2312"/>
                <w:snapToGrid w:val="0"/>
                <w:color w:val="000000"/>
                <w:sz w:val="28"/>
                <w:szCs w:val="28"/>
                <w:u w:val="single"/>
                <w:lang w:val="en-US" w:eastAsia="zh-CN"/>
              </w:rPr>
              <w:t xml:space="preserve">                                   </w:t>
            </w:r>
          </w:p>
        </w:tc>
      </w:tr>
      <w:tr w14:paraId="2D878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87" w:hRule="atLeast"/>
        </w:trPr>
        <w:tc>
          <w:tcPr>
            <w:tcW w:w="0" w:type="auto"/>
            <w:shd w:val="clear" w:color="auto" w:fill="auto"/>
            <w:vAlign w:val="center"/>
          </w:tcPr>
          <w:p w14:paraId="3B4AEE32">
            <w:pPr>
              <w:keepNext w:val="0"/>
              <w:keepLines w:val="0"/>
              <w:pageBreakBefore w:val="0"/>
              <w:widowControl w:val="0"/>
              <w:kinsoku/>
              <w:wordWrap/>
              <w:overflowPunct/>
              <w:topLinePunct w:val="0"/>
              <w:autoSpaceDE/>
              <w:autoSpaceDN/>
              <w:bidi w:val="0"/>
              <w:adjustRightInd/>
              <w:snapToGrid/>
              <w:spacing w:line="360" w:lineRule="exact"/>
              <w:ind w:right="0" w:rightChars="0"/>
              <w:jc w:val="center"/>
              <w:textAlignment w:val="auto"/>
              <w:rPr>
                <w:rFonts w:hint="default" w:ascii="仿宋_GB2312" w:hAnsi="仿宋_GB2312" w:eastAsia="仿宋_GB2312" w:cs="仿宋_GB2312"/>
                <w:snapToGrid w:val="0"/>
                <w:color w:val="000000"/>
                <w:sz w:val="28"/>
                <w:szCs w:val="28"/>
                <w:lang w:val="en-US" w:eastAsia="zh-CN"/>
              </w:rPr>
            </w:pPr>
            <w:r>
              <w:rPr>
                <w:rFonts w:hint="eastAsia" w:ascii="仿宋_GB2312" w:hAnsi="仿宋_GB2312" w:eastAsia="仿宋_GB2312" w:cs="仿宋_GB2312"/>
                <w:snapToGrid w:val="0"/>
                <w:color w:val="000000"/>
                <w:sz w:val="28"/>
                <w:szCs w:val="28"/>
                <w:lang w:val="en-US" w:eastAsia="zh-CN"/>
              </w:rPr>
              <w:t>选用理由</w:t>
            </w:r>
          </w:p>
        </w:tc>
        <w:tc>
          <w:tcPr>
            <w:tcW w:w="7250" w:type="dxa"/>
            <w:gridSpan w:val="3"/>
            <w:shd w:val="clear" w:color="auto" w:fill="auto"/>
            <w:vAlign w:val="top"/>
          </w:tcPr>
          <w:p w14:paraId="50F1C4F3">
            <w:pPr>
              <w:keepNext w:val="0"/>
              <w:keepLines w:val="0"/>
              <w:pageBreakBefore w:val="0"/>
              <w:widowControl w:val="0"/>
              <w:kinsoku/>
              <w:wordWrap/>
              <w:overflowPunct/>
              <w:topLinePunct w:val="0"/>
              <w:autoSpaceDE/>
              <w:autoSpaceDN/>
              <w:bidi w:val="0"/>
              <w:adjustRightInd/>
              <w:snapToGrid/>
              <w:spacing w:line="350" w:lineRule="exact"/>
              <w:ind w:right="0"/>
              <w:jc w:val="both"/>
              <w:textAlignment w:val="auto"/>
              <w:rPr>
                <w:rFonts w:hint="eastAsia" w:ascii="仿宋_GB2312" w:hAnsi="仿宋_GB2312" w:eastAsia="仿宋_GB2312" w:cs="仿宋_GB2312"/>
                <w:snapToGrid w:val="0"/>
                <w:color w:val="000000"/>
                <w:sz w:val="28"/>
                <w:szCs w:val="28"/>
              </w:rPr>
            </w:pPr>
          </w:p>
          <w:p w14:paraId="5307A250">
            <w:pPr>
              <w:keepNext w:val="0"/>
              <w:keepLines w:val="0"/>
              <w:pageBreakBefore w:val="0"/>
              <w:widowControl w:val="0"/>
              <w:kinsoku/>
              <w:wordWrap/>
              <w:overflowPunct/>
              <w:topLinePunct w:val="0"/>
              <w:autoSpaceDE/>
              <w:autoSpaceDN/>
              <w:bidi w:val="0"/>
              <w:adjustRightInd/>
              <w:snapToGrid/>
              <w:spacing w:line="350" w:lineRule="exact"/>
              <w:ind w:right="0"/>
              <w:jc w:val="both"/>
              <w:textAlignment w:val="auto"/>
              <w:rPr>
                <w:rFonts w:hint="eastAsia" w:ascii="仿宋_GB2312" w:hAnsi="仿宋_GB2312" w:eastAsia="仿宋_GB2312" w:cs="仿宋_GB2312"/>
                <w:snapToGrid w:val="0"/>
                <w:color w:val="000000"/>
                <w:sz w:val="28"/>
                <w:szCs w:val="28"/>
                <w:lang w:val="en-US" w:eastAsia="zh-CN"/>
              </w:rPr>
            </w:pPr>
          </w:p>
          <w:p w14:paraId="524A60F8">
            <w:pPr>
              <w:keepNext w:val="0"/>
              <w:keepLines w:val="0"/>
              <w:pageBreakBefore w:val="0"/>
              <w:widowControl w:val="0"/>
              <w:kinsoku/>
              <w:wordWrap/>
              <w:overflowPunct/>
              <w:topLinePunct w:val="0"/>
              <w:autoSpaceDE/>
              <w:autoSpaceDN/>
              <w:bidi w:val="0"/>
              <w:adjustRightInd/>
              <w:snapToGrid/>
              <w:spacing w:line="350" w:lineRule="exact"/>
              <w:ind w:right="0"/>
              <w:jc w:val="both"/>
              <w:textAlignment w:val="auto"/>
              <w:rPr>
                <w:rFonts w:hint="eastAsia" w:ascii="仿宋_GB2312" w:hAnsi="仿宋_GB2312" w:eastAsia="仿宋_GB2312" w:cs="仿宋_GB2312"/>
                <w:snapToGrid w:val="0"/>
                <w:color w:val="000000"/>
                <w:sz w:val="28"/>
                <w:szCs w:val="28"/>
                <w:lang w:val="en-US" w:eastAsia="zh-CN"/>
              </w:rPr>
            </w:pPr>
          </w:p>
          <w:p w14:paraId="7AB56153">
            <w:pPr>
              <w:keepNext w:val="0"/>
              <w:keepLines w:val="0"/>
              <w:pageBreakBefore w:val="0"/>
              <w:widowControl w:val="0"/>
              <w:kinsoku/>
              <w:wordWrap/>
              <w:overflowPunct/>
              <w:topLinePunct w:val="0"/>
              <w:autoSpaceDE/>
              <w:autoSpaceDN/>
              <w:bidi w:val="0"/>
              <w:adjustRightInd/>
              <w:snapToGrid/>
              <w:spacing w:line="350" w:lineRule="exact"/>
              <w:ind w:right="0"/>
              <w:jc w:val="both"/>
              <w:textAlignment w:val="auto"/>
              <w:rPr>
                <w:rFonts w:hint="eastAsia" w:ascii="仿宋_GB2312" w:hAnsi="仿宋_GB2312" w:eastAsia="仿宋_GB2312" w:cs="仿宋_GB2312"/>
                <w:snapToGrid w:val="0"/>
                <w:color w:val="000000"/>
                <w:sz w:val="28"/>
                <w:szCs w:val="28"/>
              </w:rPr>
            </w:pPr>
          </w:p>
          <w:p w14:paraId="700D2BA6">
            <w:pPr>
              <w:keepNext w:val="0"/>
              <w:keepLines w:val="0"/>
              <w:pageBreakBefore w:val="0"/>
              <w:widowControl w:val="0"/>
              <w:kinsoku/>
              <w:wordWrap/>
              <w:overflowPunct/>
              <w:topLinePunct w:val="0"/>
              <w:autoSpaceDE/>
              <w:autoSpaceDN/>
              <w:bidi w:val="0"/>
              <w:adjustRightInd/>
              <w:snapToGrid/>
              <w:spacing w:line="350" w:lineRule="exact"/>
              <w:ind w:right="0" w:rightChars="0"/>
              <w:jc w:val="both"/>
              <w:textAlignment w:val="auto"/>
              <w:rPr>
                <w:rFonts w:hint="eastAsia" w:ascii="仿宋_GB2312" w:hAnsi="仿宋_GB2312" w:eastAsia="仿宋_GB2312" w:cs="仿宋_GB2312"/>
                <w:color w:val="000000"/>
                <w:kern w:val="2"/>
                <w:sz w:val="32"/>
                <w:szCs w:val="32"/>
                <w:vertAlign w:val="baseline"/>
                <w:lang w:val="en-US" w:eastAsia="zh-CN" w:bidi="ar-SA"/>
              </w:rPr>
            </w:pPr>
            <w:r>
              <w:rPr>
                <w:rFonts w:hint="eastAsia" w:ascii="仿宋_GB2312" w:hAnsi="仿宋_GB2312" w:eastAsia="仿宋_GB2312" w:cs="仿宋_GB2312"/>
                <w:snapToGrid w:val="0"/>
                <w:color w:val="000000"/>
                <w:sz w:val="28"/>
                <w:szCs w:val="28"/>
              </w:rPr>
              <w:t>课程负责人</w:t>
            </w:r>
            <w:r>
              <w:rPr>
                <w:rFonts w:hint="eastAsia" w:ascii="仿宋_GB2312" w:hAnsi="仿宋_GB2312" w:eastAsia="仿宋_GB2312" w:cs="仿宋_GB2312"/>
                <w:snapToGrid w:val="0"/>
                <w:color w:val="000000"/>
                <w:sz w:val="28"/>
                <w:szCs w:val="28"/>
                <w:lang w:eastAsia="zh-CN"/>
              </w:rPr>
              <w:t>（</w:t>
            </w:r>
            <w:r>
              <w:rPr>
                <w:rFonts w:hint="eastAsia" w:ascii="仿宋_GB2312" w:hAnsi="仿宋_GB2312" w:eastAsia="仿宋_GB2312" w:cs="仿宋_GB2312"/>
                <w:snapToGrid w:val="0"/>
                <w:color w:val="000000"/>
                <w:sz w:val="28"/>
                <w:szCs w:val="28"/>
              </w:rPr>
              <w:t>签字</w:t>
            </w:r>
            <w:r>
              <w:rPr>
                <w:rFonts w:hint="eastAsia" w:ascii="仿宋_GB2312" w:hAnsi="仿宋_GB2312" w:eastAsia="仿宋_GB2312" w:cs="仿宋_GB2312"/>
                <w:snapToGrid w:val="0"/>
                <w:color w:val="000000"/>
                <w:sz w:val="28"/>
                <w:szCs w:val="28"/>
                <w:lang w:eastAsia="zh-CN"/>
              </w:rPr>
              <w:t>）</w:t>
            </w:r>
            <w:r>
              <w:rPr>
                <w:rFonts w:hint="eastAsia" w:ascii="仿宋_GB2312" w:hAnsi="仿宋_GB2312" w:eastAsia="仿宋_GB2312" w:cs="仿宋_GB2312"/>
                <w:snapToGrid w:val="0"/>
                <w:color w:val="000000"/>
                <w:sz w:val="28"/>
                <w:szCs w:val="28"/>
              </w:rPr>
              <w:t xml:space="preserve">： </w:t>
            </w:r>
            <w:r>
              <w:rPr>
                <w:rFonts w:hint="eastAsia" w:ascii="仿宋_GB2312" w:hAnsi="仿宋_GB2312" w:eastAsia="仿宋_GB2312" w:cs="仿宋_GB2312"/>
                <w:snapToGrid w:val="0"/>
                <w:color w:val="000000"/>
                <w:sz w:val="28"/>
                <w:szCs w:val="28"/>
                <w:lang w:val="en-US" w:eastAsia="zh-CN"/>
              </w:rPr>
              <w:t xml:space="preserve">                 </w:t>
            </w:r>
            <w:r>
              <w:rPr>
                <w:rFonts w:hint="eastAsia" w:ascii="仿宋_GB2312" w:hAnsi="仿宋_GB2312" w:eastAsia="仿宋_GB2312" w:cs="仿宋_GB2312"/>
                <w:snapToGrid w:val="0"/>
                <w:color w:val="000000"/>
                <w:sz w:val="28"/>
                <w:szCs w:val="28"/>
              </w:rPr>
              <w:t xml:space="preserve"> 年  </w:t>
            </w:r>
            <w:r>
              <w:rPr>
                <w:rFonts w:hint="eastAsia" w:ascii="仿宋_GB2312" w:hAnsi="仿宋_GB2312" w:eastAsia="仿宋_GB2312" w:cs="仿宋_GB2312"/>
                <w:snapToGrid w:val="0"/>
                <w:color w:val="000000"/>
                <w:sz w:val="28"/>
                <w:szCs w:val="28"/>
                <w:lang w:val="en-US" w:eastAsia="zh-CN"/>
              </w:rPr>
              <w:t xml:space="preserve"> </w:t>
            </w:r>
            <w:r>
              <w:rPr>
                <w:rFonts w:hint="eastAsia" w:ascii="仿宋_GB2312" w:hAnsi="仿宋_GB2312" w:eastAsia="仿宋_GB2312" w:cs="仿宋_GB2312"/>
                <w:snapToGrid w:val="0"/>
                <w:color w:val="000000"/>
                <w:sz w:val="28"/>
                <w:szCs w:val="28"/>
              </w:rPr>
              <w:t xml:space="preserve"> 月</w:t>
            </w:r>
            <w:r>
              <w:rPr>
                <w:rFonts w:hint="eastAsia" w:ascii="仿宋_GB2312" w:hAnsi="仿宋_GB2312" w:eastAsia="仿宋_GB2312" w:cs="仿宋_GB2312"/>
                <w:snapToGrid w:val="0"/>
                <w:color w:val="000000"/>
                <w:sz w:val="28"/>
                <w:szCs w:val="28"/>
                <w:lang w:val="en-US" w:eastAsia="zh-CN"/>
              </w:rPr>
              <w:t xml:space="preserve"> </w:t>
            </w:r>
            <w:r>
              <w:rPr>
                <w:rFonts w:hint="eastAsia" w:ascii="仿宋_GB2312" w:hAnsi="仿宋_GB2312" w:eastAsia="仿宋_GB2312" w:cs="仿宋_GB2312"/>
                <w:snapToGrid w:val="0"/>
                <w:color w:val="000000"/>
                <w:sz w:val="28"/>
                <w:szCs w:val="28"/>
              </w:rPr>
              <w:t xml:space="preserve">  日</w:t>
            </w:r>
          </w:p>
        </w:tc>
      </w:tr>
      <w:tr w14:paraId="3834A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01" w:hRule="atLeast"/>
        </w:trPr>
        <w:tc>
          <w:tcPr>
            <w:tcW w:w="0" w:type="auto"/>
            <w:shd w:val="clear" w:color="auto" w:fill="auto"/>
            <w:vAlign w:val="center"/>
          </w:tcPr>
          <w:p w14:paraId="3F9E2359">
            <w:pPr>
              <w:keepNext w:val="0"/>
              <w:keepLines w:val="0"/>
              <w:pageBreakBefore w:val="0"/>
              <w:widowControl w:val="0"/>
              <w:kinsoku/>
              <w:wordWrap/>
              <w:overflowPunct/>
              <w:topLinePunct w:val="0"/>
              <w:autoSpaceDE/>
              <w:autoSpaceDN/>
              <w:bidi w:val="0"/>
              <w:adjustRightInd/>
              <w:snapToGrid/>
              <w:spacing w:line="360" w:lineRule="exact"/>
              <w:ind w:right="0" w:rightChars="0"/>
              <w:jc w:val="center"/>
              <w:textAlignment w:val="auto"/>
              <w:rPr>
                <w:rFonts w:hint="eastAsia" w:ascii="仿宋_GB2312" w:hAnsi="仿宋_GB2312" w:eastAsia="仿宋_GB2312" w:cs="仿宋_GB2312"/>
                <w:snapToGrid w:val="0"/>
                <w:color w:val="000000"/>
                <w:sz w:val="28"/>
                <w:szCs w:val="28"/>
                <w:lang w:val="en-US" w:eastAsia="zh-CN"/>
              </w:rPr>
            </w:pPr>
            <w:r>
              <w:rPr>
                <w:rFonts w:hint="eastAsia" w:ascii="仿宋_GB2312" w:hAnsi="仿宋_GB2312" w:eastAsia="仿宋_GB2312" w:cs="仿宋_GB2312"/>
                <w:snapToGrid w:val="0"/>
                <w:color w:val="000000"/>
                <w:sz w:val="28"/>
                <w:szCs w:val="28"/>
                <w:lang w:val="en-US" w:eastAsia="zh-CN"/>
              </w:rPr>
              <w:t>专家</w:t>
            </w:r>
          </w:p>
          <w:p w14:paraId="5D053E81">
            <w:pPr>
              <w:keepNext w:val="0"/>
              <w:keepLines w:val="0"/>
              <w:pageBreakBefore w:val="0"/>
              <w:widowControl w:val="0"/>
              <w:kinsoku/>
              <w:wordWrap/>
              <w:overflowPunct/>
              <w:topLinePunct w:val="0"/>
              <w:autoSpaceDE/>
              <w:autoSpaceDN/>
              <w:bidi w:val="0"/>
              <w:adjustRightInd/>
              <w:snapToGrid/>
              <w:spacing w:line="360" w:lineRule="exact"/>
              <w:ind w:right="0" w:rightChars="0"/>
              <w:jc w:val="center"/>
              <w:textAlignment w:val="auto"/>
              <w:rPr>
                <w:rFonts w:hint="eastAsia" w:ascii="仿宋_GB2312" w:hAnsi="仿宋_GB2312" w:eastAsia="仿宋_GB2312" w:cs="仿宋_GB2312"/>
                <w:snapToGrid w:val="0"/>
                <w:color w:val="000000"/>
                <w:sz w:val="28"/>
                <w:szCs w:val="28"/>
                <w:lang w:val="en-US" w:eastAsia="zh-CN"/>
              </w:rPr>
            </w:pPr>
            <w:r>
              <w:rPr>
                <w:rFonts w:hint="eastAsia" w:ascii="仿宋_GB2312" w:hAnsi="仿宋_GB2312" w:eastAsia="仿宋_GB2312" w:cs="仿宋_GB2312"/>
                <w:snapToGrid w:val="0"/>
                <w:color w:val="000000"/>
                <w:sz w:val="28"/>
                <w:szCs w:val="28"/>
                <w:lang w:val="en-US" w:eastAsia="zh-CN"/>
              </w:rPr>
              <w:t>审议</w:t>
            </w:r>
          </w:p>
          <w:p w14:paraId="5B994D39">
            <w:pPr>
              <w:keepNext w:val="0"/>
              <w:keepLines w:val="0"/>
              <w:pageBreakBefore w:val="0"/>
              <w:widowControl w:val="0"/>
              <w:kinsoku/>
              <w:wordWrap/>
              <w:overflowPunct/>
              <w:topLinePunct w:val="0"/>
              <w:autoSpaceDE/>
              <w:autoSpaceDN/>
              <w:bidi w:val="0"/>
              <w:adjustRightInd/>
              <w:snapToGrid/>
              <w:spacing w:line="360" w:lineRule="exact"/>
              <w:ind w:right="0" w:rightChars="0"/>
              <w:jc w:val="center"/>
              <w:textAlignment w:val="auto"/>
              <w:rPr>
                <w:rFonts w:hint="eastAsia" w:ascii="仿宋_GB2312" w:hAnsi="仿宋_GB2312" w:eastAsia="仿宋_GB2312" w:cs="仿宋_GB2312"/>
                <w:snapToGrid w:val="0"/>
                <w:color w:val="000000"/>
                <w:kern w:val="2"/>
                <w:sz w:val="28"/>
                <w:szCs w:val="28"/>
                <w:lang w:val="en-US" w:eastAsia="zh-CN" w:bidi="ar-SA"/>
              </w:rPr>
            </w:pPr>
            <w:r>
              <w:rPr>
                <w:rFonts w:hint="eastAsia" w:ascii="仿宋_GB2312" w:hAnsi="仿宋_GB2312" w:eastAsia="仿宋_GB2312" w:cs="仿宋_GB2312"/>
                <w:snapToGrid w:val="0"/>
                <w:color w:val="000000"/>
                <w:sz w:val="28"/>
                <w:szCs w:val="28"/>
                <w:lang w:val="en-US" w:eastAsia="zh-CN"/>
              </w:rPr>
              <w:t>意见</w:t>
            </w:r>
          </w:p>
        </w:tc>
        <w:tc>
          <w:tcPr>
            <w:tcW w:w="7250" w:type="dxa"/>
            <w:gridSpan w:val="3"/>
            <w:shd w:val="clear" w:color="auto" w:fill="auto"/>
            <w:vAlign w:val="top"/>
          </w:tcPr>
          <w:p w14:paraId="30565571">
            <w:pPr>
              <w:keepNext w:val="0"/>
              <w:keepLines w:val="0"/>
              <w:pageBreakBefore w:val="0"/>
              <w:widowControl w:val="0"/>
              <w:kinsoku/>
              <w:wordWrap/>
              <w:overflowPunct/>
              <w:topLinePunct w:val="0"/>
              <w:autoSpaceDE/>
              <w:autoSpaceDN/>
              <w:bidi w:val="0"/>
              <w:adjustRightInd/>
              <w:snapToGrid/>
              <w:spacing w:line="350" w:lineRule="exact"/>
              <w:ind w:right="0"/>
              <w:jc w:val="both"/>
              <w:textAlignment w:val="auto"/>
              <w:rPr>
                <w:rFonts w:hint="eastAsia" w:ascii="仿宋_GB2312" w:hAnsi="仿宋_GB2312" w:eastAsia="仿宋_GB2312" w:cs="仿宋_GB2312"/>
                <w:snapToGrid w:val="0"/>
                <w:color w:val="000000"/>
                <w:sz w:val="28"/>
                <w:szCs w:val="28"/>
              </w:rPr>
            </w:pPr>
          </w:p>
          <w:p w14:paraId="7E4E3335">
            <w:pPr>
              <w:keepNext w:val="0"/>
              <w:keepLines w:val="0"/>
              <w:pageBreakBefore w:val="0"/>
              <w:widowControl w:val="0"/>
              <w:kinsoku/>
              <w:wordWrap/>
              <w:overflowPunct/>
              <w:topLinePunct w:val="0"/>
              <w:autoSpaceDE/>
              <w:autoSpaceDN/>
              <w:bidi w:val="0"/>
              <w:adjustRightInd/>
              <w:snapToGrid/>
              <w:spacing w:line="350" w:lineRule="exact"/>
              <w:ind w:right="0"/>
              <w:jc w:val="both"/>
              <w:textAlignment w:val="auto"/>
              <w:rPr>
                <w:rFonts w:hint="eastAsia" w:ascii="仿宋_GB2312" w:hAnsi="仿宋_GB2312" w:eastAsia="仿宋_GB2312" w:cs="仿宋_GB2312"/>
                <w:snapToGrid w:val="0"/>
                <w:color w:val="000000"/>
                <w:sz w:val="28"/>
                <w:szCs w:val="28"/>
                <w:lang w:val="en-US" w:eastAsia="zh-CN"/>
              </w:rPr>
            </w:pPr>
          </w:p>
          <w:p w14:paraId="360E8BFE">
            <w:pPr>
              <w:keepNext w:val="0"/>
              <w:keepLines w:val="0"/>
              <w:pageBreakBefore w:val="0"/>
              <w:widowControl w:val="0"/>
              <w:kinsoku/>
              <w:wordWrap/>
              <w:overflowPunct/>
              <w:topLinePunct w:val="0"/>
              <w:autoSpaceDE/>
              <w:autoSpaceDN/>
              <w:bidi w:val="0"/>
              <w:adjustRightInd/>
              <w:snapToGrid/>
              <w:spacing w:line="350" w:lineRule="exact"/>
              <w:ind w:right="0"/>
              <w:jc w:val="both"/>
              <w:textAlignment w:val="auto"/>
              <w:rPr>
                <w:rFonts w:hint="eastAsia" w:ascii="仿宋_GB2312" w:hAnsi="仿宋_GB2312" w:eastAsia="仿宋_GB2312" w:cs="仿宋_GB2312"/>
                <w:snapToGrid w:val="0"/>
                <w:color w:val="000000"/>
                <w:sz w:val="28"/>
                <w:szCs w:val="28"/>
              </w:rPr>
            </w:pPr>
          </w:p>
          <w:p w14:paraId="19CA7D8C">
            <w:pPr>
              <w:keepNext w:val="0"/>
              <w:keepLines w:val="0"/>
              <w:pageBreakBefore w:val="0"/>
              <w:widowControl w:val="0"/>
              <w:kinsoku/>
              <w:wordWrap/>
              <w:overflowPunct/>
              <w:topLinePunct w:val="0"/>
              <w:autoSpaceDE/>
              <w:autoSpaceDN/>
              <w:bidi w:val="0"/>
              <w:adjustRightInd/>
              <w:snapToGrid/>
              <w:spacing w:line="350" w:lineRule="exact"/>
              <w:ind w:right="0"/>
              <w:jc w:val="both"/>
              <w:textAlignment w:val="auto"/>
              <w:rPr>
                <w:rFonts w:hint="eastAsia" w:ascii="仿宋_GB2312" w:hAnsi="仿宋_GB2312" w:eastAsia="仿宋_GB2312" w:cs="仿宋_GB2312"/>
                <w:snapToGrid w:val="0"/>
                <w:color w:val="000000"/>
                <w:sz w:val="28"/>
                <w:szCs w:val="28"/>
              </w:rPr>
            </w:pPr>
          </w:p>
          <w:p w14:paraId="4E9FFD4F">
            <w:pPr>
              <w:keepNext w:val="0"/>
              <w:keepLines w:val="0"/>
              <w:pageBreakBefore w:val="0"/>
              <w:widowControl w:val="0"/>
              <w:kinsoku/>
              <w:wordWrap/>
              <w:overflowPunct/>
              <w:topLinePunct w:val="0"/>
              <w:autoSpaceDE/>
              <w:autoSpaceDN/>
              <w:bidi w:val="0"/>
              <w:adjustRightInd/>
              <w:snapToGrid/>
              <w:spacing w:line="350" w:lineRule="exact"/>
              <w:ind w:right="0" w:rightChars="0"/>
              <w:jc w:val="both"/>
              <w:textAlignment w:val="auto"/>
              <w:rPr>
                <w:rFonts w:hint="eastAsia" w:ascii="仿宋_GB2312" w:hAnsi="仿宋_GB2312" w:eastAsia="仿宋_GB2312" w:cs="仿宋_GB2312"/>
                <w:snapToGrid w:val="0"/>
                <w:color w:val="000000"/>
                <w:kern w:val="2"/>
                <w:sz w:val="28"/>
                <w:szCs w:val="28"/>
                <w:lang w:val="en-US" w:eastAsia="zh-CN" w:bidi="ar-SA"/>
              </w:rPr>
            </w:pPr>
            <w:r>
              <w:rPr>
                <w:rFonts w:hint="eastAsia" w:ascii="仿宋_GB2312" w:hAnsi="仿宋_GB2312" w:eastAsia="仿宋_GB2312" w:cs="仿宋_GB2312"/>
                <w:snapToGrid w:val="0"/>
                <w:color w:val="000000"/>
                <w:sz w:val="28"/>
                <w:szCs w:val="28"/>
                <w:lang w:val="en-US" w:eastAsia="zh-CN"/>
              </w:rPr>
              <w:t>专家（签字）</w:t>
            </w:r>
            <w:r>
              <w:rPr>
                <w:rFonts w:hint="eastAsia" w:ascii="仿宋_GB2312" w:hAnsi="仿宋_GB2312" w:eastAsia="仿宋_GB2312" w:cs="仿宋_GB2312"/>
                <w:snapToGrid w:val="0"/>
                <w:color w:val="000000"/>
                <w:sz w:val="28"/>
                <w:szCs w:val="28"/>
              </w:rPr>
              <w:t xml:space="preserve">： </w:t>
            </w:r>
            <w:r>
              <w:rPr>
                <w:rFonts w:hint="eastAsia" w:ascii="仿宋_GB2312" w:hAnsi="仿宋_GB2312" w:eastAsia="仿宋_GB2312" w:cs="仿宋_GB2312"/>
                <w:snapToGrid w:val="0"/>
                <w:color w:val="000000"/>
                <w:sz w:val="28"/>
                <w:szCs w:val="28"/>
                <w:lang w:val="en-US" w:eastAsia="zh-CN"/>
              </w:rPr>
              <w:t xml:space="preserve">                        </w:t>
            </w:r>
            <w:r>
              <w:rPr>
                <w:rFonts w:hint="eastAsia" w:ascii="仿宋_GB2312" w:hAnsi="仿宋_GB2312" w:eastAsia="仿宋_GB2312" w:cs="仿宋_GB2312"/>
                <w:snapToGrid w:val="0"/>
                <w:color w:val="000000"/>
                <w:sz w:val="28"/>
                <w:szCs w:val="28"/>
              </w:rPr>
              <w:t xml:space="preserve"> 年  </w:t>
            </w:r>
            <w:r>
              <w:rPr>
                <w:rFonts w:hint="eastAsia" w:ascii="仿宋_GB2312" w:hAnsi="仿宋_GB2312" w:eastAsia="仿宋_GB2312" w:cs="仿宋_GB2312"/>
                <w:snapToGrid w:val="0"/>
                <w:color w:val="000000"/>
                <w:sz w:val="28"/>
                <w:szCs w:val="28"/>
                <w:lang w:val="en-US" w:eastAsia="zh-CN"/>
              </w:rPr>
              <w:t xml:space="preserve"> </w:t>
            </w:r>
            <w:r>
              <w:rPr>
                <w:rFonts w:hint="eastAsia" w:ascii="仿宋_GB2312" w:hAnsi="仿宋_GB2312" w:eastAsia="仿宋_GB2312" w:cs="仿宋_GB2312"/>
                <w:snapToGrid w:val="0"/>
                <w:color w:val="000000"/>
                <w:sz w:val="28"/>
                <w:szCs w:val="28"/>
              </w:rPr>
              <w:t xml:space="preserve"> 月</w:t>
            </w:r>
            <w:r>
              <w:rPr>
                <w:rFonts w:hint="eastAsia" w:ascii="仿宋_GB2312" w:hAnsi="仿宋_GB2312" w:eastAsia="仿宋_GB2312" w:cs="仿宋_GB2312"/>
                <w:snapToGrid w:val="0"/>
                <w:color w:val="000000"/>
                <w:sz w:val="28"/>
                <w:szCs w:val="28"/>
                <w:lang w:val="en-US" w:eastAsia="zh-CN"/>
              </w:rPr>
              <w:t xml:space="preserve"> </w:t>
            </w:r>
            <w:r>
              <w:rPr>
                <w:rFonts w:hint="eastAsia" w:ascii="仿宋_GB2312" w:hAnsi="仿宋_GB2312" w:eastAsia="仿宋_GB2312" w:cs="仿宋_GB2312"/>
                <w:snapToGrid w:val="0"/>
                <w:color w:val="000000"/>
                <w:sz w:val="28"/>
                <w:szCs w:val="28"/>
              </w:rPr>
              <w:t xml:space="preserve">  日</w:t>
            </w:r>
          </w:p>
        </w:tc>
      </w:tr>
      <w:tr w14:paraId="26129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01" w:hRule="atLeast"/>
        </w:trPr>
        <w:tc>
          <w:tcPr>
            <w:tcW w:w="0" w:type="auto"/>
            <w:shd w:val="clear" w:color="auto" w:fill="auto"/>
            <w:vAlign w:val="center"/>
          </w:tcPr>
          <w:p w14:paraId="6EE90001">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lang w:val="en-US" w:eastAsia="zh-CN"/>
              </w:rPr>
              <w:t>教学</w:t>
            </w:r>
            <w:r>
              <w:rPr>
                <w:rFonts w:hint="eastAsia" w:ascii="仿宋_GB2312" w:hAnsi="仿宋_GB2312" w:eastAsia="仿宋_GB2312" w:cs="仿宋_GB2312"/>
                <w:snapToGrid w:val="0"/>
                <w:color w:val="000000"/>
                <w:sz w:val="28"/>
                <w:szCs w:val="28"/>
              </w:rPr>
              <w:t>单位</w:t>
            </w:r>
          </w:p>
          <w:p w14:paraId="5BC0FC06">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教材工作</w:t>
            </w:r>
          </w:p>
          <w:p w14:paraId="7F3813A4">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仿宋_GB2312" w:hAnsi="仿宋_GB2312" w:eastAsia="仿宋_GB2312" w:cs="仿宋_GB2312"/>
                <w:snapToGrid w:val="0"/>
                <w:color w:val="000000"/>
                <w:sz w:val="28"/>
                <w:szCs w:val="28"/>
                <w:lang w:val="en-US" w:eastAsia="zh-CN"/>
              </w:rPr>
            </w:pPr>
            <w:r>
              <w:rPr>
                <w:rFonts w:hint="eastAsia" w:ascii="仿宋_GB2312" w:hAnsi="仿宋_GB2312" w:eastAsia="仿宋_GB2312" w:cs="仿宋_GB2312"/>
                <w:snapToGrid w:val="0"/>
                <w:color w:val="000000"/>
                <w:sz w:val="28"/>
                <w:szCs w:val="28"/>
                <w:lang w:val="en-US" w:eastAsia="zh-CN"/>
              </w:rPr>
              <w:t>领导小组</w:t>
            </w:r>
          </w:p>
          <w:p w14:paraId="430E6112">
            <w:pPr>
              <w:keepNext w:val="0"/>
              <w:keepLines w:val="0"/>
              <w:pageBreakBefore w:val="0"/>
              <w:widowControl w:val="0"/>
              <w:kinsoku/>
              <w:wordWrap/>
              <w:overflowPunct/>
              <w:topLinePunct w:val="0"/>
              <w:autoSpaceDE/>
              <w:autoSpaceDN/>
              <w:bidi w:val="0"/>
              <w:adjustRightInd/>
              <w:snapToGrid/>
              <w:spacing w:line="360" w:lineRule="exact"/>
              <w:ind w:right="0" w:rightChars="0"/>
              <w:jc w:val="center"/>
              <w:textAlignment w:val="auto"/>
              <w:rPr>
                <w:rFonts w:hint="eastAsia" w:ascii="仿宋_GB2312" w:hAnsi="仿宋_GB2312" w:eastAsia="仿宋_GB2312" w:cs="仿宋_GB2312"/>
                <w:snapToGrid w:val="0"/>
                <w:color w:val="000000"/>
                <w:kern w:val="2"/>
                <w:sz w:val="28"/>
                <w:szCs w:val="28"/>
                <w:lang w:val="en-US" w:eastAsia="zh-CN" w:bidi="ar-SA"/>
              </w:rPr>
            </w:pPr>
            <w:r>
              <w:rPr>
                <w:rFonts w:hint="eastAsia" w:ascii="仿宋_GB2312" w:hAnsi="仿宋_GB2312" w:eastAsia="仿宋_GB2312" w:cs="仿宋_GB2312"/>
                <w:snapToGrid w:val="0"/>
                <w:color w:val="000000"/>
                <w:sz w:val="28"/>
                <w:szCs w:val="28"/>
              </w:rPr>
              <w:t>意</w:t>
            </w:r>
            <w:r>
              <w:rPr>
                <w:rFonts w:hint="eastAsia" w:ascii="仿宋_GB2312" w:hAnsi="仿宋_GB2312" w:eastAsia="仿宋_GB2312" w:cs="仿宋_GB2312"/>
                <w:snapToGrid w:val="0"/>
                <w:color w:val="000000"/>
                <w:sz w:val="28"/>
                <w:szCs w:val="28"/>
                <w:lang w:val="en-US" w:eastAsia="zh-CN"/>
              </w:rPr>
              <w:t xml:space="preserve">    </w:t>
            </w:r>
            <w:r>
              <w:rPr>
                <w:rFonts w:hint="eastAsia" w:ascii="仿宋_GB2312" w:hAnsi="仿宋_GB2312" w:eastAsia="仿宋_GB2312" w:cs="仿宋_GB2312"/>
                <w:snapToGrid w:val="0"/>
                <w:color w:val="000000"/>
                <w:sz w:val="28"/>
                <w:szCs w:val="28"/>
              </w:rPr>
              <w:t>见</w:t>
            </w:r>
          </w:p>
        </w:tc>
        <w:tc>
          <w:tcPr>
            <w:tcW w:w="7250" w:type="dxa"/>
            <w:gridSpan w:val="3"/>
            <w:shd w:val="clear" w:color="auto" w:fill="auto"/>
            <w:vAlign w:val="top"/>
          </w:tcPr>
          <w:p w14:paraId="758F0D15">
            <w:pPr>
              <w:keepNext w:val="0"/>
              <w:keepLines w:val="0"/>
              <w:pageBreakBefore w:val="0"/>
              <w:widowControl w:val="0"/>
              <w:kinsoku/>
              <w:wordWrap/>
              <w:overflowPunct/>
              <w:topLinePunct w:val="0"/>
              <w:autoSpaceDE/>
              <w:autoSpaceDN/>
              <w:bidi w:val="0"/>
              <w:adjustRightInd/>
              <w:snapToGrid/>
              <w:spacing w:line="350" w:lineRule="exact"/>
              <w:ind w:right="0"/>
              <w:textAlignment w:val="auto"/>
              <w:rPr>
                <w:rFonts w:hint="eastAsia" w:ascii="仿宋_GB2312" w:hAnsi="仿宋_GB2312" w:eastAsia="仿宋_GB2312" w:cs="仿宋_GB2312"/>
                <w:snapToGrid w:val="0"/>
                <w:color w:val="000000"/>
                <w:sz w:val="28"/>
                <w:szCs w:val="28"/>
              </w:rPr>
            </w:pPr>
          </w:p>
          <w:p w14:paraId="2E84B748">
            <w:pPr>
              <w:keepNext w:val="0"/>
              <w:keepLines w:val="0"/>
              <w:pageBreakBefore w:val="0"/>
              <w:widowControl w:val="0"/>
              <w:kinsoku/>
              <w:wordWrap/>
              <w:overflowPunct/>
              <w:topLinePunct w:val="0"/>
              <w:autoSpaceDE/>
              <w:autoSpaceDN/>
              <w:bidi w:val="0"/>
              <w:adjustRightInd/>
              <w:snapToGrid/>
              <w:spacing w:line="350" w:lineRule="exact"/>
              <w:ind w:right="0"/>
              <w:textAlignment w:val="auto"/>
              <w:rPr>
                <w:rFonts w:hint="eastAsia" w:ascii="仿宋_GB2312" w:hAnsi="仿宋_GB2312" w:eastAsia="仿宋_GB2312" w:cs="仿宋_GB2312"/>
                <w:snapToGrid w:val="0"/>
                <w:color w:val="000000"/>
                <w:sz w:val="28"/>
                <w:szCs w:val="28"/>
              </w:rPr>
            </w:pPr>
          </w:p>
          <w:p w14:paraId="024795C3">
            <w:pPr>
              <w:keepNext w:val="0"/>
              <w:keepLines w:val="0"/>
              <w:pageBreakBefore w:val="0"/>
              <w:widowControl w:val="0"/>
              <w:kinsoku/>
              <w:wordWrap/>
              <w:overflowPunct/>
              <w:topLinePunct w:val="0"/>
              <w:autoSpaceDE/>
              <w:autoSpaceDN/>
              <w:bidi w:val="0"/>
              <w:adjustRightInd/>
              <w:snapToGrid/>
              <w:spacing w:line="350" w:lineRule="exact"/>
              <w:ind w:right="0"/>
              <w:textAlignment w:val="auto"/>
              <w:rPr>
                <w:rFonts w:hint="eastAsia" w:ascii="仿宋_GB2312" w:hAnsi="仿宋_GB2312" w:eastAsia="仿宋_GB2312" w:cs="仿宋_GB2312"/>
                <w:snapToGrid w:val="0"/>
                <w:color w:val="000000"/>
                <w:sz w:val="28"/>
                <w:szCs w:val="28"/>
              </w:rPr>
            </w:pPr>
          </w:p>
          <w:p w14:paraId="16624EE1">
            <w:pPr>
              <w:keepNext w:val="0"/>
              <w:keepLines w:val="0"/>
              <w:pageBreakBefore w:val="0"/>
              <w:widowControl w:val="0"/>
              <w:kinsoku/>
              <w:wordWrap/>
              <w:overflowPunct/>
              <w:topLinePunct w:val="0"/>
              <w:autoSpaceDE/>
              <w:autoSpaceDN/>
              <w:bidi w:val="0"/>
              <w:adjustRightInd/>
              <w:snapToGrid/>
              <w:spacing w:line="350" w:lineRule="exact"/>
              <w:ind w:right="0" w:rightChars="0"/>
              <w:textAlignment w:val="auto"/>
              <w:rPr>
                <w:rFonts w:hint="eastAsia" w:ascii="仿宋_GB2312" w:hAnsi="仿宋_GB2312" w:eastAsia="仿宋_GB2312" w:cs="仿宋_GB2312"/>
                <w:snapToGrid w:val="0"/>
                <w:color w:val="000000"/>
                <w:kern w:val="2"/>
                <w:sz w:val="28"/>
                <w:szCs w:val="28"/>
                <w:lang w:val="en-US" w:eastAsia="zh-CN" w:bidi="ar-SA"/>
              </w:rPr>
            </w:pPr>
            <w:r>
              <w:rPr>
                <w:rFonts w:hint="eastAsia" w:ascii="仿宋_GB2312" w:hAnsi="仿宋_GB2312" w:eastAsia="仿宋_GB2312" w:cs="仿宋_GB2312"/>
                <w:snapToGrid w:val="0"/>
                <w:color w:val="000000"/>
                <w:sz w:val="28"/>
                <w:szCs w:val="28"/>
                <w:lang w:val="en-US" w:eastAsia="zh-CN"/>
              </w:rPr>
              <w:t>负责人</w:t>
            </w:r>
            <w:r>
              <w:rPr>
                <w:rFonts w:hint="eastAsia" w:ascii="仿宋_GB2312" w:hAnsi="仿宋_GB2312" w:eastAsia="仿宋_GB2312" w:cs="仿宋_GB2312"/>
                <w:snapToGrid w:val="0"/>
                <w:color w:val="auto"/>
                <w:sz w:val="28"/>
                <w:szCs w:val="28"/>
              </w:rPr>
              <w:t xml:space="preserve">： </w:t>
            </w:r>
            <w:r>
              <w:rPr>
                <w:rFonts w:hint="eastAsia" w:ascii="仿宋_GB2312" w:hAnsi="仿宋_GB2312" w:eastAsia="仿宋_GB2312" w:cs="仿宋_GB2312"/>
                <w:snapToGrid w:val="0"/>
                <w:color w:val="auto"/>
                <w:sz w:val="28"/>
                <w:szCs w:val="28"/>
                <w:lang w:eastAsia="zh-CN"/>
              </w:rPr>
              <w:t>（</w:t>
            </w:r>
            <w:r>
              <w:rPr>
                <w:rFonts w:hint="eastAsia" w:ascii="仿宋_GB2312" w:hAnsi="仿宋_GB2312" w:eastAsia="仿宋_GB2312" w:cs="仿宋_GB2312"/>
                <w:snapToGrid w:val="0"/>
                <w:color w:val="auto"/>
                <w:sz w:val="28"/>
                <w:szCs w:val="28"/>
              </w:rPr>
              <w:t>教学单位</w:t>
            </w:r>
            <w:r>
              <w:rPr>
                <w:rFonts w:hint="eastAsia" w:ascii="仿宋_GB2312" w:hAnsi="仿宋_GB2312" w:eastAsia="仿宋_GB2312" w:cs="仿宋_GB2312"/>
                <w:snapToGrid w:val="0"/>
                <w:color w:val="auto"/>
                <w:sz w:val="28"/>
                <w:szCs w:val="28"/>
                <w:lang w:val="en-US" w:eastAsia="zh-CN"/>
              </w:rPr>
              <w:t>党组织公</w:t>
            </w:r>
            <w:r>
              <w:rPr>
                <w:rFonts w:hint="eastAsia" w:ascii="仿宋_GB2312" w:hAnsi="仿宋_GB2312" w:eastAsia="仿宋_GB2312" w:cs="仿宋_GB2312"/>
                <w:snapToGrid w:val="0"/>
                <w:color w:val="auto"/>
                <w:sz w:val="28"/>
                <w:szCs w:val="28"/>
              </w:rPr>
              <w:t>章）</w:t>
            </w:r>
            <w:r>
              <w:rPr>
                <w:rFonts w:hint="eastAsia" w:ascii="仿宋_GB2312" w:hAnsi="仿宋_GB2312" w:eastAsia="仿宋_GB2312" w:cs="仿宋_GB2312"/>
                <w:snapToGrid w:val="0"/>
                <w:color w:val="auto"/>
                <w:sz w:val="28"/>
                <w:szCs w:val="28"/>
                <w:lang w:val="en-US" w:eastAsia="zh-CN"/>
              </w:rPr>
              <w:t xml:space="preserve">      </w:t>
            </w:r>
            <w:r>
              <w:rPr>
                <w:rFonts w:hint="eastAsia" w:ascii="仿宋_GB2312" w:hAnsi="仿宋_GB2312" w:eastAsia="仿宋_GB2312" w:cs="仿宋_GB2312"/>
                <w:snapToGrid w:val="0"/>
                <w:color w:val="000000"/>
                <w:sz w:val="28"/>
                <w:szCs w:val="28"/>
                <w:lang w:val="en-US" w:eastAsia="zh-CN"/>
              </w:rPr>
              <w:t xml:space="preserve">  </w:t>
            </w:r>
            <w:r>
              <w:rPr>
                <w:rFonts w:hint="eastAsia" w:ascii="仿宋_GB2312" w:hAnsi="仿宋_GB2312" w:eastAsia="仿宋_GB2312" w:cs="仿宋_GB2312"/>
                <w:snapToGrid w:val="0"/>
                <w:color w:val="000000"/>
                <w:sz w:val="28"/>
                <w:szCs w:val="28"/>
              </w:rPr>
              <w:t>年   月   日</w:t>
            </w:r>
          </w:p>
        </w:tc>
      </w:tr>
    </w:tbl>
    <w:p w14:paraId="2F39A7B3">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教务处制</w:t>
      </w:r>
    </w:p>
    <w:p w14:paraId="29977052">
      <w:pPr>
        <w:keepNext w:val="0"/>
        <w:keepLines w:val="0"/>
        <w:pageBreakBefore w:val="0"/>
        <w:kinsoku/>
        <w:overflowPunct/>
        <w:topLinePunct w:val="0"/>
        <w:bidi w:val="0"/>
        <w:spacing w:line="600" w:lineRule="exact"/>
        <w:ind w:left="0" w:right="0" w:firstLine="640" w:firstLineChars="200"/>
        <w:textAlignment w:val="auto"/>
        <w:rPr>
          <w:rFonts w:hint="default" w:ascii="Times New Roman" w:hAnsi="Times New Roman" w:eastAsia="仿宋_GB2312" w:cs="Times New Roman"/>
          <w:color w:val="000000"/>
          <w:kern w:val="0"/>
          <w:sz w:val="32"/>
          <w:szCs w:val="32"/>
          <w:highlight w:val="none"/>
        </w:rPr>
      </w:pPr>
    </w:p>
    <w:p w14:paraId="50279AD2">
      <w:pPr>
        <w:rPr>
          <w:rFonts w:hint="default" w:ascii="Times New Roman" w:hAnsi="Times New Roman" w:eastAsia="宋体" w:cs="Times New Roman"/>
        </w:rPr>
      </w:pPr>
    </w:p>
    <w:p w14:paraId="6DFDF9DE">
      <w:pPr>
        <w:keepNext w:val="0"/>
        <w:keepLines w:val="0"/>
        <w:pageBreakBefore w:val="0"/>
        <w:widowControl w:val="0"/>
        <w:tabs>
          <w:tab w:val="left" w:pos="630"/>
        </w:tabs>
        <w:kinsoku/>
        <w:wordWrap w:val="0"/>
        <w:overflowPunct/>
        <w:topLinePunct/>
        <w:autoSpaceDE/>
        <w:autoSpaceDN/>
        <w:bidi w:val="0"/>
        <w:adjustRightInd w:val="0"/>
        <w:snapToGrid w:val="0"/>
        <w:spacing w:line="240" w:lineRule="auto"/>
        <w:ind w:firstLine="0" w:firstLineChars="0"/>
        <w:jc w:val="right"/>
        <w:textAlignment w:val="baseline"/>
        <w:rPr>
          <w:rFonts w:hint="default" w:ascii="Times New Roman" w:hAnsi="Times New Roman" w:eastAsia="Arial" w:cs="Times New Roman"/>
          <w:snapToGrid w:val="0"/>
          <w:color w:val="000000"/>
          <w:kern w:val="0"/>
          <w:szCs w:val="21"/>
          <w:lang w:val="en-US" w:eastAsia="zh-CN"/>
        </w:rPr>
      </w:pPr>
    </w:p>
    <w:p w14:paraId="27A00C0D">
      <w:pPr>
        <w:keepNext w:val="0"/>
        <w:keepLines w:val="0"/>
        <w:pageBreakBefore w:val="0"/>
        <w:widowControl w:val="0"/>
        <w:tabs>
          <w:tab w:val="left" w:pos="630"/>
        </w:tabs>
        <w:kinsoku/>
        <w:wordWrap w:val="0"/>
        <w:overflowPunct/>
        <w:topLinePunct/>
        <w:autoSpaceDE/>
        <w:autoSpaceDN/>
        <w:bidi w:val="0"/>
        <w:adjustRightInd w:val="0"/>
        <w:snapToGrid w:val="0"/>
        <w:spacing w:line="240" w:lineRule="auto"/>
        <w:ind w:firstLine="0" w:firstLineChars="0"/>
        <w:jc w:val="right"/>
        <w:textAlignment w:val="baseline"/>
        <w:rPr>
          <w:rFonts w:hint="default" w:ascii="Times New Roman" w:hAnsi="Times New Roman" w:eastAsia="Arial" w:cs="Times New Roman"/>
          <w:snapToGrid w:val="0"/>
          <w:color w:val="000000"/>
          <w:kern w:val="0"/>
          <w:szCs w:val="21"/>
          <w:lang w:val="en-US" w:eastAsia="zh-CN"/>
        </w:rPr>
      </w:pPr>
    </w:p>
    <w:p w14:paraId="52CEEA77">
      <w:pPr>
        <w:keepNext w:val="0"/>
        <w:keepLines w:val="0"/>
        <w:pageBreakBefore w:val="0"/>
        <w:widowControl w:val="0"/>
        <w:tabs>
          <w:tab w:val="left" w:pos="630"/>
        </w:tabs>
        <w:kinsoku/>
        <w:wordWrap w:val="0"/>
        <w:overflowPunct/>
        <w:topLinePunct/>
        <w:autoSpaceDE/>
        <w:autoSpaceDN/>
        <w:bidi w:val="0"/>
        <w:adjustRightInd w:val="0"/>
        <w:snapToGrid w:val="0"/>
        <w:spacing w:line="240" w:lineRule="auto"/>
        <w:ind w:firstLine="0" w:firstLineChars="0"/>
        <w:jc w:val="right"/>
        <w:textAlignment w:val="baseline"/>
        <w:rPr>
          <w:rFonts w:hint="default" w:ascii="Times New Roman" w:hAnsi="Times New Roman" w:eastAsia="Arial" w:cs="Times New Roman"/>
          <w:snapToGrid w:val="0"/>
          <w:color w:val="000000"/>
          <w:kern w:val="0"/>
          <w:szCs w:val="21"/>
          <w:lang w:val="en-US" w:eastAsia="zh-CN"/>
        </w:rPr>
      </w:pPr>
    </w:p>
    <w:p w14:paraId="2395A219">
      <w:pPr>
        <w:keepNext w:val="0"/>
        <w:keepLines w:val="0"/>
        <w:pageBreakBefore w:val="0"/>
        <w:widowControl w:val="0"/>
        <w:tabs>
          <w:tab w:val="left" w:pos="630"/>
        </w:tabs>
        <w:kinsoku/>
        <w:wordWrap w:val="0"/>
        <w:overflowPunct/>
        <w:topLinePunct/>
        <w:autoSpaceDE/>
        <w:autoSpaceDN/>
        <w:bidi w:val="0"/>
        <w:adjustRightInd w:val="0"/>
        <w:snapToGrid w:val="0"/>
        <w:spacing w:line="240" w:lineRule="auto"/>
        <w:ind w:firstLine="0" w:firstLineChars="0"/>
        <w:jc w:val="right"/>
        <w:textAlignment w:val="baseline"/>
        <w:rPr>
          <w:rFonts w:hint="default" w:ascii="Times New Roman" w:hAnsi="Times New Roman" w:eastAsia="Arial" w:cs="Times New Roman"/>
          <w:snapToGrid w:val="0"/>
          <w:color w:val="000000"/>
          <w:kern w:val="0"/>
          <w:szCs w:val="21"/>
          <w:lang w:val="en-US" w:eastAsia="zh-CN"/>
        </w:rPr>
      </w:pPr>
    </w:p>
    <w:p w14:paraId="40590381">
      <w:pPr>
        <w:keepNext w:val="0"/>
        <w:keepLines w:val="0"/>
        <w:pageBreakBefore w:val="0"/>
        <w:widowControl w:val="0"/>
        <w:tabs>
          <w:tab w:val="left" w:pos="630"/>
        </w:tabs>
        <w:kinsoku/>
        <w:wordWrap w:val="0"/>
        <w:overflowPunct/>
        <w:topLinePunct/>
        <w:autoSpaceDE/>
        <w:autoSpaceDN/>
        <w:bidi w:val="0"/>
        <w:adjustRightInd w:val="0"/>
        <w:snapToGrid w:val="0"/>
        <w:spacing w:line="240" w:lineRule="auto"/>
        <w:ind w:firstLine="0" w:firstLineChars="0"/>
        <w:jc w:val="right"/>
        <w:textAlignment w:val="baseline"/>
        <w:rPr>
          <w:rFonts w:hint="default" w:ascii="Times New Roman" w:hAnsi="Times New Roman" w:eastAsia="Arial" w:cs="Times New Roman"/>
          <w:snapToGrid w:val="0"/>
          <w:color w:val="000000"/>
          <w:kern w:val="0"/>
          <w:szCs w:val="21"/>
          <w:lang w:val="en-US" w:eastAsia="zh-CN"/>
        </w:rPr>
      </w:pPr>
    </w:p>
    <w:p w14:paraId="3801E495">
      <w:pPr>
        <w:keepNext w:val="0"/>
        <w:keepLines w:val="0"/>
        <w:pageBreakBefore w:val="0"/>
        <w:widowControl w:val="0"/>
        <w:tabs>
          <w:tab w:val="left" w:pos="630"/>
        </w:tabs>
        <w:kinsoku/>
        <w:wordWrap w:val="0"/>
        <w:overflowPunct/>
        <w:topLinePunct/>
        <w:autoSpaceDE/>
        <w:autoSpaceDN/>
        <w:bidi w:val="0"/>
        <w:adjustRightInd w:val="0"/>
        <w:snapToGrid w:val="0"/>
        <w:spacing w:line="240" w:lineRule="auto"/>
        <w:ind w:firstLine="0" w:firstLineChars="0"/>
        <w:jc w:val="right"/>
        <w:textAlignment w:val="baseline"/>
        <w:rPr>
          <w:rFonts w:hint="default" w:ascii="Times New Roman" w:hAnsi="Times New Roman" w:eastAsia="Arial" w:cs="Times New Roman"/>
          <w:snapToGrid w:val="0"/>
          <w:color w:val="000000"/>
          <w:kern w:val="0"/>
          <w:szCs w:val="21"/>
          <w:lang w:val="en-US" w:eastAsia="zh-CN"/>
        </w:rPr>
      </w:pPr>
    </w:p>
    <w:p w14:paraId="50CF9578">
      <w:pPr>
        <w:keepNext w:val="0"/>
        <w:keepLines w:val="0"/>
        <w:pageBreakBefore w:val="0"/>
        <w:widowControl w:val="0"/>
        <w:tabs>
          <w:tab w:val="left" w:pos="630"/>
        </w:tabs>
        <w:kinsoku/>
        <w:wordWrap w:val="0"/>
        <w:overflowPunct/>
        <w:topLinePunct/>
        <w:autoSpaceDE/>
        <w:autoSpaceDN/>
        <w:bidi w:val="0"/>
        <w:adjustRightInd w:val="0"/>
        <w:snapToGrid w:val="0"/>
        <w:spacing w:line="240" w:lineRule="auto"/>
        <w:ind w:firstLine="0" w:firstLineChars="0"/>
        <w:jc w:val="right"/>
        <w:textAlignment w:val="baseline"/>
        <w:rPr>
          <w:rFonts w:hint="default" w:ascii="Times New Roman" w:hAnsi="Times New Roman" w:eastAsia="Arial" w:cs="Times New Roman"/>
          <w:snapToGrid w:val="0"/>
          <w:color w:val="000000"/>
          <w:kern w:val="0"/>
          <w:szCs w:val="21"/>
          <w:lang w:val="en-US" w:eastAsia="zh-CN"/>
        </w:rPr>
      </w:pPr>
    </w:p>
    <w:p w14:paraId="1B5B30B0">
      <w:pPr>
        <w:keepNext w:val="0"/>
        <w:keepLines w:val="0"/>
        <w:pageBreakBefore w:val="0"/>
        <w:widowControl w:val="0"/>
        <w:tabs>
          <w:tab w:val="left" w:pos="630"/>
        </w:tabs>
        <w:kinsoku/>
        <w:wordWrap w:val="0"/>
        <w:overflowPunct/>
        <w:topLinePunct/>
        <w:autoSpaceDE/>
        <w:autoSpaceDN/>
        <w:bidi w:val="0"/>
        <w:adjustRightInd w:val="0"/>
        <w:snapToGrid w:val="0"/>
        <w:spacing w:line="240" w:lineRule="auto"/>
        <w:ind w:firstLine="0" w:firstLineChars="0"/>
        <w:jc w:val="right"/>
        <w:textAlignment w:val="baseline"/>
        <w:rPr>
          <w:rFonts w:hint="default" w:ascii="Times New Roman" w:hAnsi="Times New Roman" w:eastAsia="Arial" w:cs="Times New Roman"/>
          <w:snapToGrid w:val="0"/>
          <w:color w:val="000000"/>
          <w:kern w:val="0"/>
          <w:szCs w:val="21"/>
          <w:lang w:val="en-US" w:eastAsia="zh-CN"/>
        </w:rPr>
      </w:pPr>
    </w:p>
    <w:p w14:paraId="432CC70E">
      <w:pPr>
        <w:keepNext w:val="0"/>
        <w:keepLines w:val="0"/>
        <w:pageBreakBefore w:val="0"/>
        <w:widowControl w:val="0"/>
        <w:tabs>
          <w:tab w:val="left" w:pos="630"/>
        </w:tabs>
        <w:kinsoku/>
        <w:wordWrap w:val="0"/>
        <w:overflowPunct/>
        <w:topLinePunct/>
        <w:autoSpaceDE/>
        <w:autoSpaceDN/>
        <w:bidi w:val="0"/>
        <w:adjustRightInd w:val="0"/>
        <w:snapToGrid w:val="0"/>
        <w:spacing w:line="240" w:lineRule="auto"/>
        <w:ind w:firstLine="0" w:firstLineChars="0"/>
        <w:jc w:val="right"/>
        <w:textAlignment w:val="baseline"/>
        <w:rPr>
          <w:rFonts w:hint="default" w:ascii="Times New Roman" w:hAnsi="Times New Roman" w:eastAsia="Arial" w:cs="Times New Roman"/>
          <w:snapToGrid w:val="0"/>
          <w:color w:val="000000"/>
          <w:kern w:val="0"/>
          <w:szCs w:val="21"/>
          <w:lang w:val="en-US" w:eastAsia="zh-CN"/>
        </w:rPr>
      </w:pPr>
    </w:p>
    <w:p w14:paraId="43ADE18B">
      <w:pPr>
        <w:keepNext w:val="0"/>
        <w:keepLines w:val="0"/>
        <w:pageBreakBefore w:val="0"/>
        <w:widowControl w:val="0"/>
        <w:tabs>
          <w:tab w:val="left" w:pos="630"/>
        </w:tabs>
        <w:kinsoku/>
        <w:wordWrap w:val="0"/>
        <w:overflowPunct/>
        <w:topLinePunct/>
        <w:autoSpaceDE/>
        <w:autoSpaceDN/>
        <w:bidi w:val="0"/>
        <w:adjustRightInd w:val="0"/>
        <w:snapToGrid w:val="0"/>
        <w:spacing w:line="240" w:lineRule="auto"/>
        <w:ind w:firstLine="0" w:firstLineChars="0"/>
        <w:jc w:val="right"/>
        <w:textAlignment w:val="baseline"/>
        <w:rPr>
          <w:rFonts w:hint="default" w:ascii="Times New Roman" w:hAnsi="Times New Roman" w:eastAsia="Arial" w:cs="Times New Roman"/>
          <w:snapToGrid w:val="0"/>
          <w:color w:val="000000"/>
          <w:kern w:val="0"/>
          <w:szCs w:val="21"/>
          <w:lang w:val="en-US" w:eastAsia="zh-CN"/>
        </w:rPr>
      </w:pPr>
    </w:p>
    <w:p w14:paraId="0DF26539">
      <w:pPr>
        <w:keepNext w:val="0"/>
        <w:keepLines w:val="0"/>
        <w:pageBreakBefore w:val="0"/>
        <w:widowControl w:val="0"/>
        <w:tabs>
          <w:tab w:val="left" w:pos="630"/>
        </w:tabs>
        <w:kinsoku/>
        <w:wordWrap w:val="0"/>
        <w:overflowPunct/>
        <w:topLinePunct/>
        <w:autoSpaceDE/>
        <w:autoSpaceDN/>
        <w:bidi w:val="0"/>
        <w:adjustRightInd w:val="0"/>
        <w:snapToGrid w:val="0"/>
        <w:spacing w:line="240" w:lineRule="auto"/>
        <w:ind w:firstLine="0" w:firstLineChars="0"/>
        <w:jc w:val="right"/>
        <w:textAlignment w:val="baseline"/>
        <w:rPr>
          <w:rFonts w:hint="default" w:ascii="Times New Roman" w:hAnsi="Times New Roman" w:eastAsia="Arial" w:cs="Times New Roman"/>
          <w:snapToGrid w:val="0"/>
          <w:color w:val="000000"/>
          <w:kern w:val="0"/>
          <w:szCs w:val="21"/>
          <w:lang w:val="en-US" w:eastAsia="zh-CN"/>
        </w:rPr>
      </w:pPr>
    </w:p>
    <w:p w14:paraId="5BF008F1">
      <w:pPr>
        <w:keepNext w:val="0"/>
        <w:keepLines w:val="0"/>
        <w:pageBreakBefore w:val="0"/>
        <w:widowControl w:val="0"/>
        <w:tabs>
          <w:tab w:val="left" w:pos="630"/>
        </w:tabs>
        <w:kinsoku/>
        <w:wordWrap w:val="0"/>
        <w:overflowPunct/>
        <w:topLinePunct/>
        <w:autoSpaceDE/>
        <w:autoSpaceDN/>
        <w:bidi w:val="0"/>
        <w:adjustRightInd w:val="0"/>
        <w:snapToGrid w:val="0"/>
        <w:spacing w:line="240" w:lineRule="auto"/>
        <w:ind w:firstLine="0" w:firstLineChars="0"/>
        <w:jc w:val="right"/>
        <w:textAlignment w:val="baseline"/>
        <w:rPr>
          <w:rFonts w:hint="default" w:ascii="Times New Roman" w:hAnsi="Times New Roman" w:eastAsia="Arial" w:cs="Times New Roman"/>
          <w:snapToGrid w:val="0"/>
          <w:color w:val="000000"/>
          <w:kern w:val="0"/>
          <w:szCs w:val="21"/>
          <w:lang w:val="en-US" w:eastAsia="zh-CN"/>
        </w:rPr>
      </w:pPr>
    </w:p>
    <w:p w14:paraId="3F5BC44C">
      <w:pPr>
        <w:keepNext w:val="0"/>
        <w:keepLines w:val="0"/>
        <w:pageBreakBefore w:val="0"/>
        <w:widowControl w:val="0"/>
        <w:tabs>
          <w:tab w:val="left" w:pos="630"/>
        </w:tabs>
        <w:kinsoku/>
        <w:wordWrap w:val="0"/>
        <w:overflowPunct/>
        <w:topLinePunct/>
        <w:autoSpaceDE/>
        <w:autoSpaceDN/>
        <w:bidi w:val="0"/>
        <w:adjustRightInd w:val="0"/>
        <w:snapToGrid w:val="0"/>
        <w:spacing w:line="240" w:lineRule="auto"/>
        <w:ind w:firstLine="0" w:firstLineChars="0"/>
        <w:jc w:val="right"/>
        <w:textAlignment w:val="baseline"/>
        <w:rPr>
          <w:rFonts w:hint="default" w:ascii="Times New Roman" w:hAnsi="Times New Roman" w:eastAsia="Arial" w:cs="Times New Roman"/>
          <w:snapToGrid w:val="0"/>
          <w:color w:val="000000"/>
          <w:kern w:val="0"/>
          <w:szCs w:val="21"/>
          <w:lang w:val="en-US" w:eastAsia="zh-CN"/>
        </w:rPr>
      </w:pPr>
    </w:p>
    <w:p w14:paraId="12BBACBA">
      <w:pPr>
        <w:keepNext w:val="0"/>
        <w:keepLines w:val="0"/>
        <w:pageBreakBefore w:val="0"/>
        <w:widowControl w:val="0"/>
        <w:tabs>
          <w:tab w:val="left" w:pos="630"/>
        </w:tabs>
        <w:kinsoku/>
        <w:wordWrap w:val="0"/>
        <w:overflowPunct/>
        <w:topLinePunct/>
        <w:autoSpaceDE/>
        <w:autoSpaceDN/>
        <w:bidi w:val="0"/>
        <w:adjustRightInd w:val="0"/>
        <w:snapToGrid w:val="0"/>
        <w:spacing w:line="240" w:lineRule="auto"/>
        <w:ind w:firstLine="0" w:firstLineChars="0"/>
        <w:jc w:val="right"/>
        <w:textAlignment w:val="baseline"/>
        <w:rPr>
          <w:rFonts w:hint="default" w:ascii="Times New Roman" w:hAnsi="Times New Roman" w:eastAsia="Arial" w:cs="Times New Roman"/>
          <w:snapToGrid w:val="0"/>
          <w:color w:val="000000"/>
          <w:kern w:val="0"/>
          <w:szCs w:val="21"/>
          <w:lang w:val="en-US" w:eastAsia="zh-CN"/>
        </w:rPr>
      </w:pPr>
    </w:p>
    <w:p w14:paraId="440B99DB">
      <w:pPr>
        <w:keepNext w:val="0"/>
        <w:keepLines w:val="0"/>
        <w:pageBreakBefore w:val="0"/>
        <w:widowControl w:val="0"/>
        <w:tabs>
          <w:tab w:val="left" w:pos="630"/>
        </w:tabs>
        <w:kinsoku/>
        <w:wordWrap w:val="0"/>
        <w:overflowPunct/>
        <w:topLinePunct/>
        <w:autoSpaceDE/>
        <w:autoSpaceDN/>
        <w:bidi w:val="0"/>
        <w:adjustRightInd w:val="0"/>
        <w:snapToGrid w:val="0"/>
        <w:spacing w:line="240" w:lineRule="auto"/>
        <w:ind w:firstLine="0" w:firstLineChars="0"/>
        <w:jc w:val="both"/>
        <w:textAlignment w:val="baseline"/>
        <w:rPr>
          <w:rFonts w:hint="default" w:ascii="Times New Roman" w:hAnsi="Times New Roman" w:eastAsia="Arial" w:cs="Times New Roman"/>
          <w:snapToGrid w:val="0"/>
          <w:color w:val="000000"/>
          <w:kern w:val="0"/>
          <w:szCs w:val="21"/>
          <w:lang w:val="en-US" w:eastAsia="zh-CN"/>
        </w:rPr>
      </w:pPr>
    </w:p>
    <w:p w14:paraId="0F23B9C6">
      <w:pPr>
        <w:keepNext w:val="0"/>
        <w:keepLines w:val="0"/>
        <w:pageBreakBefore w:val="0"/>
        <w:widowControl w:val="0"/>
        <w:tabs>
          <w:tab w:val="left" w:pos="630"/>
        </w:tabs>
        <w:kinsoku/>
        <w:wordWrap w:val="0"/>
        <w:overflowPunct/>
        <w:topLinePunct/>
        <w:autoSpaceDE/>
        <w:autoSpaceDN/>
        <w:bidi w:val="0"/>
        <w:adjustRightInd w:val="0"/>
        <w:snapToGrid w:val="0"/>
        <w:spacing w:line="240" w:lineRule="auto"/>
        <w:ind w:firstLine="0" w:firstLineChars="0"/>
        <w:jc w:val="right"/>
        <w:textAlignment w:val="baseline"/>
        <w:rPr>
          <w:rFonts w:hint="default" w:ascii="Times New Roman" w:hAnsi="Times New Roman" w:eastAsia="Arial" w:cs="Times New Roman"/>
          <w:snapToGrid w:val="0"/>
          <w:color w:val="000000"/>
          <w:kern w:val="0"/>
          <w:szCs w:val="21"/>
          <w:lang w:val="en-US" w:eastAsia="zh-CN"/>
        </w:rPr>
      </w:pPr>
    </w:p>
    <w:p w14:paraId="7B5F3B47">
      <w:pPr>
        <w:keepNext w:val="0"/>
        <w:keepLines w:val="0"/>
        <w:pageBreakBefore w:val="0"/>
        <w:widowControl w:val="0"/>
        <w:tabs>
          <w:tab w:val="left" w:pos="630"/>
        </w:tabs>
        <w:kinsoku/>
        <w:wordWrap w:val="0"/>
        <w:overflowPunct/>
        <w:topLinePunct/>
        <w:autoSpaceDE/>
        <w:autoSpaceDN/>
        <w:bidi w:val="0"/>
        <w:adjustRightInd w:val="0"/>
        <w:snapToGrid w:val="0"/>
        <w:spacing w:line="240" w:lineRule="auto"/>
        <w:ind w:firstLine="0" w:firstLineChars="0"/>
        <w:jc w:val="right"/>
        <w:textAlignment w:val="baseline"/>
        <w:rPr>
          <w:rFonts w:hint="default" w:ascii="Times New Roman" w:hAnsi="Times New Roman" w:eastAsia="Arial" w:cs="Times New Roman"/>
          <w:snapToGrid w:val="0"/>
          <w:color w:val="000000"/>
          <w:kern w:val="0"/>
          <w:szCs w:val="21"/>
          <w:lang w:val="en-US" w:eastAsia="zh-CN"/>
        </w:rPr>
      </w:pPr>
    </w:p>
    <w:p w14:paraId="4C418F13">
      <w:pPr>
        <w:keepNext w:val="0"/>
        <w:keepLines w:val="0"/>
        <w:pageBreakBefore w:val="0"/>
        <w:widowControl w:val="0"/>
        <w:tabs>
          <w:tab w:val="left" w:pos="630"/>
        </w:tabs>
        <w:kinsoku/>
        <w:wordWrap w:val="0"/>
        <w:overflowPunct/>
        <w:topLinePunct/>
        <w:autoSpaceDE/>
        <w:autoSpaceDN/>
        <w:bidi w:val="0"/>
        <w:adjustRightInd w:val="0"/>
        <w:snapToGrid w:val="0"/>
        <w:spacing w:line="240" w:lineRule="auto"/>
        <w:ind w:firstLine="0" w:firstLineChars="0"/>
        <w:jc w:val="right"/>
        <w:textAlignment w:val="baseline"/>
        <w:rPr>
          <w:rFonts w:hint="default" w:ascii="Times New Roman" w:hAnsi="Times New Roman" w:eastAsia="Arial" w:cs="Times New Roman"/>
          <w:snapToGrid w:val="0"/>
          <w:color w:val="000000"/>
          <w:kern w:val="0"/>
          <w:szCs w:val="21"/>
          <w:lang w:val="en-US" w:eastAsia="zh-CN"/>
        </w:rPr>
      </w:pPr>
    </w:p>
    <w:p w14:paraId="3F75DAAB">
      <w:pPr>
        <w:keepNext w:val="0"/>
        <w:keepLines w:val="0"/>
        <w:pageBreakBefore w:val="0"/>
        <w:widowControl w:val="0"/>
        <w:tabs>
          <w:tab w:val="left" w:pos="630"/>
        </w:tabs>
        <w:kinsoku/>
        <w:wordWrap w:val="0"/>
        <w:overflowPunct/>
        <w:topLinePunct/>
        <w:autoSpaceDE/>
        <w:autoSpaceDN/>
        <w:bidi w:val="0"/>
        <w:adjustRightInd w:val="0"/>
        <w:snapToGrid w:val="0"/>
        <w:spacing w:line="240" w:lineRule="auto"/>
        <w:ind w:firstLine="0" w:firstLineChars="0"/>
        <w:jc w:val="right"/>
        <w:textAlignment w:val="baseline"/>
        <w:rPr>
          <w:rFonts w:hint="default" w:ascii="Times New Roman" w:hAnsi="Times New Roman" w:eastAsia="Arial" w:cs="Times New Roman"/>
          <w:snapToGrid w:val="0"/>
          <w:color w:val="000000"/>
          <w:kern w:val="0"/>
          <w:szCs w:val="21"/>
          <w:lang w:val="en-US" w:eastAsia="zh-CN"/>
        </w:rPr>
      </w:pPr>
    </w:p>
    <w:tbl>
      <w:tblPr>
        <w:tblStyle w:val="7"/>
        <w:tblpPr w:leftFromText="180" w:rightFromText="180" w:vertAnchor="text" w:horzAnchor="page" w:tblpX="1585" w:tblpY="652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0"/>
      </w:tblGrid>
      <w:tr w14:paraId="5CB30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9030" w:type="dxa"/>
            <w:tcBorders>
              <w:top w:val="single" w:color="auto" w:sz="12" w:space="0"/>
              <w:left w:val="nil"/>
              <w:bottom w:val="single" w:color="auto" w:sz="12" w:space="0"/>
              <w:right w:val="nil"/>
            </w:tcBorders>
            <w:noWrap w:val="0"/>
            <w:vAlign w:val="top"/>
          </w:tcPr>
          <w:p w14:paraId="1B31BA86">
            <w:pPr>
              <w:keepNext w:val="0"/>
              <w:keepLines w:val="0"/>
              <w:pageBreakBefore w:val="0"/>
              <w:widowControl w:val="0"/>
              <w:kinsoku/>
              <w:wordWrap w:val="0"/>
              <w:overflowPunct w:val="0"/>
              <w:topLinePunct/>
              <w:autoSpaceDE/>
              <w:autoSpaceDN/>
              <w:bidi w:val="0"/>
              <w:spacing w:line="600" w:lineRule="exact"/>
              <w:ind w:right="0" w:rightChars="0" w:firstLine="280" w:firstLineChars="100"/>
              <w:textAlignment w:val="auto"/>
              <w:rPr>
                <w:rFonts w:hint="default" w:ascii="Times New Roman" w:hAnsi="Times New Roman" w:eastAsia="仿宋_GB2312" w:cs="Times New Roman"/>
                <w:sz w:val="28"/>
                <w:szCs w:val="28"/>
                <w:highlight w:val="none"/>
              </w:rPr>
            </w:pPr>
            <w:bookmarkStart w:id="1" w:name="_Toc20816"/>
            <w:r>
              <w:rPr>
                <w:rFonts w:hint="default" w:ascii="Times New Roman" w:hAnsi="Times New Roman" w:eastAsia="仿宋_GB2312" w:cs="Times New Roman"/>
                <w:sz w:val="28"/>
                <w:szCs w:val="28"/>
                <w:highlight w:val="none"/>
              </w:rPr>
              <w:t xml:space="preserve">温州理工学院办公室        </w:t>
            </w:r>
            <w:r>
              <w:rPr>
                <w:rFonts w:hint="default" w:ascii="Times New Roman" w:hAnsi="Times New Roman" w:eastAsia="仿宋_GB2312" w:cs="Times New Roman"/>
                <w:sz w:val="28"/>
                <w:szCs w:val="28"/>
                <w:highlight w:val="none"/>
                <w:lang w:val="en-US" w:eastAsia="zh-CN"/>
              </w:rPr>
              <w:t xml:space="preserve">  </w:t>
            </w:r>
            <w:r>
              <w:rPr>
                <w:rFonts w:hint="eastAsia" w:ascii="Times New Roman" w:hAnsi="Times New Roman" w:eastAsia="仿宋_GB2312" w:cs="Times New Roman"/>
                <w:sz w:val="28"/>
                <w:szCs w:val="28"/>
                <w:highlight w:val="none"/>
                <w:lang w:val="en-US" w:eastAsia="zh-CN"/>
              </w:rPr>
              <w:t xml:space="preserve">    </w:t>
            </w:r>
            <w:r>
              <w:rPr>
                <w:rFonts w:hint="default" w:ascii="Times New Roman" w:hAnsi="Times New Roman" w:eastAsia="仿宋_GB2312" w:cs="Times New Roman"/>
                <w:sz w:val="28"/>
                <w:szCs w:val="28"/>
                <w:highlight w:val="none"/>
                <w:lang w:val="en-US" w:eastAsia="zh-CN"/>
              </w:rPr>
              <w:t xml:space="preserve">  </w:t>
            </w:r>
            <w:r>
              <w:rPr>
                <w:rFonts w:hint="default" w:ascii="Times New Roman" w:hAnsi="Times New Roman" w:eastAsia="仿宋_GB2312" w:cs="Times New Roman"/>
                <w:sz w:val="28"/>
                <w:szCs w:val="28"/>
                <w:highlight w:val="none"/>
              </w:rPr>
              <w:t xml:space="preserve">  </w:t>
            </w:r>
            <w:r>
              <w:rPr>
                <w:rFonts w:hint="default" w:ascii="Times New Roman" w:hAnsi="Times New Roman" w:eastAsia="仿宋_GB2312" w:cs="Times New Roman"/>
                <w:sz w:val="28"/>
                <w:szCs w:val="28"/>
                <w:highlight w:val="none"/>
                <w:lang w:val="en-US" w:eastAsia="zh-CN"/>
              </w:rPr>
              <w:t xml:space="preserve">  </w:t>
            </w:r>
            <w:r>
              <w:rPr>
                <w:rFonts w:hint="default" w:ascii="Times New Roman" w:hAnsi="Times New Roman" w:eastAsia="仿宋_GB2312" w:cs="Times New Roman"/>
                <w:sz w:val="28"/>
                <w:szCs w:val="28"/>
                <w:highlight w:val="none"/>
              </w:rPr>
              <w:t>202</w:t>
            </w:r>
            <w:r>
              <w:rPr>
                <w:rFonts w:hint="default" w:ascii="Times New Roman" w:hAnsi="Times New Roman" w:eastAsia="仿宋_GB2312" w:cs="Times New Roman"/>
                <w:sz w:val="28"/>
                <w:szCs w:val="28"/>
                <w:highlight w:val="none"/>
                <w:lang w:val="en-US" w:eastAsia="zh-CN"/>
              </w:rPr>
              <w:t>6</w:t>
            </w:r>
            <w:r>
              <w:rPr>
                <w:rFonts w:hint="default" w:ascii="Times New Roman" w:hAnsi="Times New Roman" w:eastAsia="仿宋_GB2312" w:cs="Times New Roman"/>
                <w:sz w:val="28"/>
                <w:szCs w:val="28"/>
                <w:highlight w:val="none"/>
              </w:rPr>
              <w:t>年</w:t>
            </w:r>
            <w:r>
              <w:rPr>
                <w:rFonts w:hint="default" w:ascii="Times New Roman" w:hAnsi="Times New Roman" w:eastAsia="仿宋_GB2312" w:cs="Times New Roman"/>
                <w:sz w:val="28"/>
                <w:szCs w:val="28"/>
                <w:highlight w:val="none"/>
                <w:lang w:val="en-US" w:eastAsia="zh-CN"/>
              </w:rPr>
              <w:t>5</w:t>
            </w:r>
            <w:r>
              <w:rPr>
                <w:rFonts w:hint="default" w:ascii="Times New Roman" w:hAnsi="Times New Roman" w:eastAsia="仿宋_GB2312" w:cs="Times New Roman"/>
                <w:sz w:val="28"/>
                <w:szCs w:val="28"/>
                <w:highlight w:val="none"/>
              </w:rPr>
              <w:t>月</w:t>
            </w:r>
            <w:r>
              <w:rPr>
                <w:rFonts w:hint="eastAsia" w:ascii="Times New Roman" w:hAnsi="Times New Roman" w:eastAsia="仿宋_GB2312" w:cs="Times New Roman"/>
                <w:sz w:val="28"/>
                <w:szCs w:val="28"/>
                <w:highlight w:val="none"/>
                <w:lang w:val="en-US" w:eastAsia="zh-CN"/>
              </w:rPr>
              <w:t>19</w:t>
            </w:r>
            <w:r>
              <w:rPr>
                <w:rFonts w:hint="default" w:ascii="Times New Roman" w:hAnsi="Times New Roman" w:eastAsia="仿宋_GB2312" w:cs="Times New Roman"/>
                <w:sz w:val="28"/>
                <w:szCs w:val="28"/>
                <w:highlight w:val="none"/>
              </w:rPr>
              <w:t>日印发</w:t>
            </w:r>
          </w:p>
        </w:tc>
      </w:tr>
      <w:bookmarkEnd w:id="1"/>
    </w:tbl>
    <w:p w14:paraId="39DFAEC5">
      <w:pPr>
        <w:keepNext w:val="0"/>
        <w:keepLines w:val="0"/>
        <w:pageBreakBefore w:val="0"/>
        <w:widowControl w:val="0"/>
        <w:tabs>
          <w:tab w:val="left" w:pos="630"/>
        </w:tabs>
        <w:kinsoku/>
        <w:wordWrap w:val="0"/>
        <w:overflowPunct/>
        <w:topLinePunct/>
        <w:autoSpaceDE/>
        <w:autoSpaceDN/>
        <w:bidi w:val="0"/>
        <w:adjustRightInd w:val="0"/>
        <w:snapToGrid w:val="0"/>
        <w:spacing w:line="240" w:lineRule="auto"/>
        <w:ind w:firstLine="0" w:firstLineChars="0"/>
        <w:jc w:val="right"/>
        <w:textAlignment w:val="baseline"/>
        <w:rPr>
          <w:rFonts w:hint="default" w:ascii="Times New Roman" w:hAnsi="Times New Roman" w:eastAsia="Arial" w:cs="Times New Roman"/>
          <w:snapToGrid w:val="0"/>
          <w:color w:val="000000"/>
          <w:kern w:val="0"/>
          <w:szCs w:val="21"/>
          <w:lang w:val="en-US" w:eastAsia="zh-CN"/>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F1F3660-77BC-4941-B647-5FCF313A89F1}"/>
  </w:font>
  <w:font w:name="黑体">
    <w:panose1 w:val="02010609060101010101"/>
    <w:charset w:val="86"/>
    <w:family w:val="auto"/>
    <w:pitch w:val="default"/>
    <w:sig w:usb0="800002BF" w:usb1="38CF7CFA" w:usb2="00000016" w:usb3="00000000" w:csb0="00040001" w:csb1="00000000"/>
    <w:embedRegular r:id="rId2" w:fontKey="{CC0B1DF1-7D64-4206-8D30-F71028CDE35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40729F0D-6DD2-4854-AF29-0697CB36EAB7}"/>
  </w:font>
  <w:font w:name="方正小标宋_GBK">
    <w:panose1 w:val="03000509000000000000"/>
    <w:charset w:val="86"/>
    <w:family w:val="auto"/>
    <w:pitch w:val="default"/>
    <w:sig w:usb0="00000001" w:usb1="080E0000" w:usb2="00000000" w:usb3="00000000" w:csb0="00040000" w:csb1="00000000"/>
    <w:embedRegular r:id="rId4" w:fontKey="{19785F4C-7825-464C-853B-58BA211905B4}"/>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楷体_GB2312">
    <w:panose1 w:val="02010609030101010101"/>
    <w:charset w:val="86"/>
    <w:family w:val="modern"/>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5" w:fontKey="{C33A13A5-5935-47F9-BD8C-6C4493BA8A68}"/>
  </w:font>
  <w:font w:name="方正仿宋_GB2312">
    <w:altName w:val="仿宋"/>
    <w:panose1 w:val="02000000000000000000"/>
    <w:charset w:val="86"/>
    <w:family w:val="auto"/>
    <w:pitch w:val="default"/>
    <w:sig w:usb0="00000000" w:usb1="00000000" w:usb2="00000012" w:usb3="00000000" w:csb0="00040001" w:csb1="00000000"/>
    <w:embedRegular r:id="rId6" w:fontKey="{EDBD1172-090E-4F74-ABCC-C801277728D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AD82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DA9F8E">
                          <w:pPr>
                            <w:pStyle w:val="3"/>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7DA9F8E">
                    <w:pPr>
                      <w:pStyle w:val="3"/>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0B2897"/>
    <w:multiLevelType w:val="multilevel"/>
    <w:tmpl w:val="090B2897"/>
    <w:lvl w:ilvl="0" w:tentative="0">
      <w:start w:val="1"/>
      <w:numFmt w:val="chineseCountingThousand"/>
      <w:lvlText w:val="第%1章"/>
      <w:lvlJc w:val="left"/>
      <w:pPr>
        <w:ind w:left="420" w:hanging="420"/>
      </w:pPr>
      <w:rPr>
        <w:rFonts w:hint="eastAsia" w:ascii="黑体" w:hAnsi="黑体" w:eastAsia="黑体" w:cs="黑体"/>
        <w:b w:val="0"/>
        <w:bCs w:val="0"/>
        <w:sz w:val="32"/>
        <w:szCs w:val="32"/>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D1D7E02"/>
    <w:multiLevelType w:val="multilevel"/>
    <w:tmpl w:val="5D1D7E02"/>
    <w:lvl w:ilvl="0" w:tentative="0">
      <w:start w:val="1"/>
      <w:numFmt w:val="japaneseCounting"/>
      <w:lvlText w:val="第%1条"/>
      <w:lvlJc w:val="left"/>
      <w:pPr>
        <w:ind w:left="945" w:hanging="945"/>
      </w:pPr>
      <w:rPr>
        <w:rFonts w:hint="eastAsia" w:ascii="楷体_GB2312" w:hAnsi="楷体_GB2312" w:eastAsia="楷体_GB2312" w:cs="楷体_GB2312"/>
        <w:b/>
        <w:sz w:val="32"/>
        <w:szCs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embedTrueTypeFonts/>
  <w:saveSubsetFonts/>
  <w:bordersDoNotSurroundHeader w:val="0"/>
  <w:bordersDoNotSurroundFooter w:val="0"/>
  <w:documentProtection w:edit="readOnly" w:enforcement="1" w:cryptProviderType="rsaFull" w:cryptAlgorithmClass="hash" w:cryptAlgorithmType="typeAny" w:cryptAlgorithmSid="4" w:cryptSpinCount="0" w:hash="k7zgsolYmwfIW8t8KMGQzeCxT0E=" w:salt="XLlwQh9urzbNEFv3QnQ8V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390981"/>
    <w:rsid w:val="008E4BA3"/>
    <w:rsid w:val="04786E64"/>
    <w:rsid w:val="0792120D"/>
    <w:rsid w:val="092327A2"/>
    <w:rsid w:val="0A5F2B10"/>
    <w:rsid w:val="0A917CCA"/>
    <w:rsid w:val="0CC11D58"/>
    <w:rsid w:val="0F471366"/>
    <w:rsid w:val="1013176C"/>
    <w:rsid w:val="15A44D56"/>
    <w:rsid w:val="15F93F63"/>
    <w:rsid w:val="1ACD254F"/>
    <w:rsid w:val="2A3C5105"/>
    <w:rsid w:val="2DB83119"/>
    <w:rsid w:val="32F02F31"/>
    <w:rsid w:val="36E5561F"/>
    <w:rsid w:val="37535C53"/>
    <w:rsid w:val="41E225DE"/>
    <w:rsid w:val="4AD621D7"/>
    <w:rsid w:val="580746F5"/>
    <w:rsid w:val="62EE5086"/>
    <w:rsid w:val="64390981"/>
    <w:rsid w:val="6DA8430D"/>
    <w:rsid w:val="71471FC8"/>
    <w:rsid w:val="755A1EB0"/>
    <w:rsid w:val="7A7C6983"/>
    <w:rsid w:val="7ADD7EED"/>
    <w:rsid w:val="7B0626D5"/>
    <w:rsid w:val="7DBF6D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semiHidden/>
    <w:qFormat/>
    <w:uiPriority w:val="0"/>
    <w:pPr>
      <w:kinsoku w:val="0"/>
      <w:autoSpaceDE w:val="0"/>
      <w:autoSpaceDN w:val="0"/>
      <w:adjustRightInd w:val="0"/>
      <w:snapToGrid w:val="0"/>
      <w:spacing w:line="240" w:lineRule="auto"/>
      <w:jc w:val="left"/>
      <w:textAlignment w:val="baseline"/>
    </w:pPr>
    <w:rPr>
      <w:rFonts w:ascii="仿宋" w:hAnsi="仿宋" w:eastAsia="仿宋" w:cs="仿宋"/>
      <w:snapToGrid w:val="0"/>
      <w:color w:val="000000"/>
      <w:kern w:val="0"/>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autoSpaceDE w:val="0"/>
      <w:autoSpaceDN w:val="0"/>
      <w:adjustRightInd w:val="0"/>
      <w:snapToGrid w:val="0"/>
      <w:spacing w:line="240" w:lineRule="auto"/>
      <w:ind w:firstLine="0" w:firstLineChars="0"/>
      <w:jc w:val="left"/>
      <w:textAlignment w:val="baseline"/>
    </w:pPr>
    <w:rPr>
      <w:rFonts w:ascii="Arial Unicode MS" w:hAnsi="Arial Unicode MS" w:eastAsia="Arial Unicode MS" w:cs="Arial Unicode MS"/>
      <w:snapToGrid w:val="0"/>
      <w:color w:val="000000"/>
      <w:kern w:val="0"/>
      <w:sz w:val="21"/>
      <w:szCs w:val="21"/>
    </w:rPr>
  </w:style>
  <w:style w:type="paragraph" w:styleId="6">
    <w:name w:val="Normal (Web)"/>
    <w:basedOn w:val="1"/>
    <w:qFormat/>
    <w:uiPriority w:val="0"/>
    <w:rPr>
      <w:sz w:val="24"/>
    </w:rPr>
  </w:style>
  <w:style w:type="table" w:styleId="8">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paragraph" w:customStyle="1" w:styleId="11">
    <w:name w:val="l正文"/>
    <w:qFormat/>
    <w:uiPriority w:val="0"/>
    <w:pPr>
      <w:kinsoku w:val="0"/>
      <w:autoSpaceDE w:val="0"/>
      <w:autoSpaceDN w:val="0"/>
      <w:adjustRightInd w:val="0"/>
      <w:snapToGrid w:val="0"/>
      <w:spacing w:line="300" w:lineRule="auto"/>
      <w:ind w:firstLine="200" w:firstLineChars="200"/>
      <w:jc w:val="left"/>
      <w:textAlignment w:val="baseline"/>
    </w:pPr>
    <w:rPr>
      <w:rFonts w:ascii="楷体_GB2312" w:hAnsi="Times" w:eastAsia="楷体_GB2312" w:cs="等线"/>
      <w:snapToGrid w:val="0"/>
      <w:color w:val="00000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5948</Words>
  <Characters>5973</Characters>
  <Lines>1</Lines>
  <Paragraphs>1</Paragraphs>
  <TotalTime>0</TotalTime>
  <ScaleCrop>false</ScaleCrop>
  <LinksUpToDate>false</LinksUpToDate>
  <CharactersWithSpaces>6039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2026-03-30T02:45:00Z</dcterms:created>
  <dc:creator>毛传雨</dc:creator>
  <cp:lastModifiedBy>欧欧</cp:lastModifiedBy>
  <cp:lastPrinted>2026-03-30T08:54:00Z</cp:lastPrinted>
  <dcterms:modified xsi:type="dcterms:W3CDTF">2026-05-19T06:05:53Z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B28F88FA6064440D957A4D45E0FE7AF9_13</vt:lpwstr>
  </property>
  <property fmtid="{D5CDD505-2E9C-101B-9397-08002B2CF9AE}" pid="4" name="KSOTemplateDocerSaveRecord">
    <vt:lpwstr>eyJoZGlkIjoiNmJkZDFiMmIwYTk3YzE2ZTg3Nzg4N2FhOTMyMTlkNTAiLCJ1c2VySWQiOiIyMzE3MDQ0MjAifQ==</vt:lpwstr>
  </property>
</Properties>
</file>