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3D04B3">
      <w:pPr>
        <w:spacing w:before="240" w:after="240"/>
        <w:jc w:val="center"/>
        <w:rPr>
          <w:sz w:val="32"/>
          <w:szCs w:val="32"/>
          <w:lang w:eastAsia="zh-CN"/>
        </w:rPr>
      </w:pPr>
      <w:r>
        <w:rPr>
          <w:rFonts w:ascii="黑体" w:hAnsi="黑体" w:eastAsia="黑体"/>
          <w:b/>
          <w:color w:val="000000"/>
          <w:sz w:val="32"/>
          <w:szCs w:val="32"/>
          <w:lang w:eastAsia="zh-CN"/>
        </w:rPr>
        <w:t>温州理工学院XXXX专业YYYY届毕业实习工作总结</w:t>
      </w:r>
    </w:p>
    <w:p w14:paraId="19EA19C0">
      <w:pPr>
        <w:spacing w:before="240" w:after="240"/>
        <w:jc w:val="center"/>
        <w:rPr>
          <w:sz w:val="32"/>
          <w:szCs w:val="32"/>
          <w:lang w:eastAsia="zh-CN"/>
        </w:rPr>
      </w:pPr>
      <w:r>
        <w:rPr>
          <w:rFonts w:ascii="黑体" w:hAnsi="黑体" w:eastAsia="黑体"/>
          <w:b/>
          <w:color w:val="000000"/>
          <w:sz w:val="32"/>
          <w:szCs w:val="32"/>
          <w:lang w:eastAsia="zh-CN"/>
        </w:rPr>
        <w:t>（模板）</w:t>
      </w:r>
    </w:p>
    <w:p w14:paraId="44EAA29B">
      <w:pPr>
        <w:spacing w:after="120" w:line="360" w:lineRule="auto"/>
        <w:ind w:firstLine="420"/>
        <w:rPr>
          <w:lang w:eastAsia="zh-CN"/>
        </w:rPr>
      </w:pPr>
      <w:r>
        <w:rPr>
          <w:rFonts w:ascii="楷体" w:hAnsi="楷体" w:eastAsia="楷体"/>
          <w:color w:val="000000"/>
          <w:sz w:val="24"/>
          <w:lang w:eastAsia="zh-CN"/>
        </w:rPr>
        <w:t>【说明】本模板中的"XXXX"为专业名称占位符，"YYYY"为届别占位符，正式文稿中须替换为具体内容。本模板旨在为各专业撰写毕业实习工作总结提供基本框架和参考样例，并非强制标准。各专业应结合本专业定位、实习类型、产业合作实际以及当届学生具体情况，对模板中的各项内容进行适应性调整和优化。模板中引用《温州理工学院实习管理办法（试行）》（温理工行政〔2024〕2号）相关条款，供撰写时对照执行。</w:t>
      </w:r>
    </w:p>
    <w:p w14:paraId="786CF590">
      <w:pPr>
        <w:spacing w:after="120" w:line="360" w:lineRule="auto"/>
        <w:ind w:firstLine="420"/>
        <w:rPr>
          <w:lang w:eastAsia="zh-CN"/>
        </w:rPr>
      </w:pPr>
      <w:r>
        <w:rPr>
          <w:rFonts w:ascii="黑体" w:hAnsi="黑体" w:eastAsia="黑体"/>
          <w:b/>
          <w:color w:val="000000"/>
          <w:sz w:val="24"/>
          <w:lang w:eastAsia="zh-CN"/>
        </w:rPr>
        <w:t>【撰写要求】</w:t>
      </w:r>
    </w:p>
    <w:p w14:paraId="07158CAD">
      <w:pPr>
        <w:spacing w:after="0" w:line="360" w:lineRule="auto"/>
        <w:ind w:firstLine="420"/>
        <w:rPr>
          <w:rFonts w:hint="eastAsia" w:ascii="楷体" w:hAnsi="楷体" w:eastAsia="楷体"/>
          <w:color w:val="000000"/>
          <w:sz w:val="24"/>
          <w:lang w:eastAsia="zh-CN"/>
        </w:rPr>
      </w:pPr>
      <w:r>
        <w:rPr>
          <w:rFonts w:ascii="楷体" w:hAnsi="楷体" w:eastAsia="楷体"/>
          <w:color w:val="000000"/>
          <w:sz w:val="24"/>
          <w:lang w:eastAsia="zh-CN"/>
        </w:rPr>
        <w:t xml:space="preserve">1. </w:t>
      </w:r>
      <w:r>
        <w:rPr>
          <w:rFonts w:hint="eastAsia" w:ascii="楷体" w:hAnsi="楷体" w:eastAsia="楷体"/>
          <w:color w:val="000000"/>
          <w:sz w:val="24"/>
          <w:lang w:eastAsia="zh-CN"/>
        </w:rPr>
        <w:t>数据真实准确，与教务系统、实习管理平台记录保持一致；</w:t>
      </w:r>
    </w:p>
    <w:p w14:paraId="60C289F5">
      <w:pPr>
        <w:spacing w:after="0" w:line="360" w:lineRule="auto"/>
        <w:ind w:firstLine="420"/>
        <w:rPr>
          <w:rFonts w:hint="eastAsia" w:ascii="楷体" w:hAnsi="楷体" w:eastAsia="楷体"/>
          <w:color w:val="000000"/>
          <w:sz w:val="24"/>
          <w:lang w:eastAsia="zh-CN"/>
        </w:rPr>
      </w:pPr>
      <w:r>
        <w:rPr>
          <w:rFonts w:ascii="楷体" w:hAnsi="楷体" w:eastAsia="楷体"/>
          <w:color w:val="000000"/>
          <w:sz w:val="24"/>
          <w:lang w:eastAsia="zh-CN"/>
        </w:rPr>
        <w:t xml:space="preserve">2. </w:t>
      </w:r>
      <w:r>
        <w:rPr>
          <w:rFonts w:hint="eastAsia" w:ascii="楷体" w:hAnsi="楷体" w:eastAsia="楷体"/>
          <w:color w:val="000000"/>
          <w:sz w:val="24"/>
          <w:lang w:eastAsia="zh-CN"/>
        </w:rPr>
        <w:t>问题剖析深入具体，避免</w:t>
      </w:r>
      <w:r>
        <w:rPr>
          <w:rFonts w:ascii="楷体" w:hAnsi="楷体" w:eastAsia="楷体"/>
          <w:color w:val="000000"/>
          <w:sz w:val="24"/>
          <w:lang w:eastAsia="zh-CN"/>
        </w:rPr>
        <w:t>“</w:t>
      </w:r>
      <w:r>
        <w:rPr>
          <w:rFonts w:hint="eastAsia" w:ascii="楷体" w:hAnsi="楷体" w:eastAsia="楷体"/>
          <w:color w:val="000000"/>
          <w:sz w:val="24"/>
          <w:lang w:eastAsia="zh-CN"/>
        </w:rPr>
        <w:t>蜻蜓点水</w:t>
      </w:r>
      <w:r>
        <w:rPr>
          <w:rFonts w:ascii="楷体" w:hAnsi="楷体" w:eastAsia="楷体"/>
          <w:color w:val="000000"/>
          <w:sz w:val="24"/>
          <w:lang w:eastAsia="zh-CN"/>
        </w:rPr>
        <w:t>”</w:t>
      </w:r>
      <w:r>
        <w:rPr>
          <w:rFonts w:hint="eastAsia" w:ascii="楷体" w:hAnsi="楷体" w:eastAsia="楷体"/>
          <w:color w:val="000000"/>
          <w:sz w:val="24"/>
          <w:lang w:eastAsia="zh-CN"/>
        </w:rPr>
        <w:t>式表述；</w:t>
      </w:r>
    </w:p>
    <w:p w14:paraId="2233764A">
      <w:pPr>
        <w:spacing w:after="0" w:line="360" w:lineRule="auto"/>
        <w:ind w:firstLine="420"/>
        <w:rPr>
          <w:rFonts w:hint="eastAsia" w:ascii="楷体" w:hAnsi="楷体" w:eastAsia="楷体"/>
          <w:color w:val="000000"/>
          <w:sz w:val="24"/>
          <w:lang w:eastAsia="zh-CN"/>
        </w:rPr>
      </w:pPr>
      <w:r>
        <w:rPr>
          <w:rFonts w:ascii="楷体" w:hAnsi="楷体" w:eastAsia="楷体"/>
          <w:color w:val="000000"/>
          <w:sz w:val="24"/>
          <w:lang w:eastAsia="zh-CN"/>
        </w:rPr>
        <w:t xml:space="preserve">3. </w:t>
      </w:r>
      <w:r>
        <w:rPr>
          <w:rFonts w:hint="eastAsia" w:ascii="楷体" w:hAnsi="楷体" w:eastAsia="楷体"/>
          <w:color w:val="000000"/>
          <w:sz w:val="24"/>
          <w:lang w:eastAsia="zh-CN"/>
        </w:rPr>
        <w:t>整改措施须对应问题，具备可核查、可评估的量化指标。</w:t>
      </w:r>
    </w:p>
    <w:p w14:paraId="58782C57">
      <w:pPr>
        <w:spacing w:after="0" w:line="360" w:lineRule="auto"/>
        <w:ind w:firstLine="420"/>
        <w:rPr>
          <w:rFonts w:hint="eastAsia" w:ascii="楷体" w:hAnsi="楷体" w:eastAsia="楷体"/>
          <w:color w:val="000000"/>
          <w:sz w:val="24"/>
          <w:lang w:eastAsia="zh-CN"/>
        </w:rPr>
      </w:pPr>
    </w:p>
    <w:p w14:paraId="4CD1D133">
      <w:pPr>
        <w:pStyle w:val="164"/>
        <w:rPr>
          <w:rFonts w:hint="eastAsia"/>
        </w:rPr>
      </w:pPr>
      <w:r>
        <w:rPr>
          <w:rFonts w:hint="eastAsia"/>
        </w:rPr>
        <w:t>一、总体情况</w:t>
      </w:r>
    </w:p>
    <w:p w14:paraId="28538225">
      <w:pPr>
        <w:pStyle w:val="166"/>
        <w:rPr>
          <w:rFonts w:hint="eastAsia"/>
        </w:rPr>
      </w:pPr>
      <w:r>
        <w:rPr>
          <w:rFonts w:hint="eastAsia"/>
        </w:rPr>
        <w:t>本部分应全面反映本专业本届毕业实习的整体面貌，包括组织领导、计划执行、资源配置、学生分布及质量监控的总体情况，做到数据准确、脉络清晰。</w:t>
      </w:r>
    </w:p>
    <w:p w14:paraId="26B49F82">
      <w:pPr>
        <w:pStyle w:val="165"/>
        <w:rPr>
          <w:rFonts w:hint="eastAsia"/>
        </w:rPr>
      </w:pPr>
      <w:r>
        <w:rPr>
          <w:rFonts w:hint="eastAsia"/>
        </w:rPr>
        <w:t>（一）组织领导与制度保障</w:t>
      </w:r>
    </w:p>
    <w:p w14:paraId="7A57FE70">
      <w:pPr>
        <w:pStyle w:val="166"/>
        <w:rPr>
          <w:rFonts w:hint="eastAsia"/>
        </w:rPr>
      </w:pPr>
      <w:r>
        <w:rPr>
          <w:rFonts w:hint="eastAsia"/>
        </w:rPr>
        <w:t>说明本专业所在二级学院毕业实习工作领导小组的组建情况，以及本专业在学院统筹下的具体分工；对照《管理办法》第四条、第八条要求，说明本专业实习指导教师的选聘与配备情况，包括指导教师总人数、职称结构（中级及以上职称占比）、师生比，以及初级职称教师是否单独指导学生等。若存在指导教师更换情况，须说明更换原因及审批备案程序是否符合《管理办法》第八条要求。</w:t>
      </w:r>
    </w:p>
    <w:p w14:paraId="1CC90214">
      <w:pPr>
        <w:pStyle w:val="165"/>
        <w:rPr>
          <w:rFonts w:hint="eastAsia"/>
        </w:rPr>
      </w:pPr>
      <w:r>
        <w:rPr>
          <w:rFonts w:hint="eastAsia"/>
        </w:rPr>
        <w:t>（二）实习计划与大纲执行</w:t>
      </w:r>
    </w:p>
    <w:p w14:paraId="6661889D">
      <w:pPr>
        <w:pStyle w:val="166"/>
        <w:rPr>
          <w:rFonts w:hint="eastAsia"/>
        </w:rPr>
      </w:pPr>
      <w:r>
        <w:rPr>
          <w:rFonts w:hint="eastAsia"/>
        </w:rPr>
        <w:t>依据《管理办法》第二条、第三条，说明本专业毕业实习大纲的编制、审查及报教务处备案情况；阐述本专业实习计划的制定、审批流程，以及实习计划执行过程中的调整情况。如有变更实习时间、地点等情形，须说明是否履行书面申请及审批备案程序。</w:t>
      </w:r>
    </w:p>
    <w:p w14:paraId="46C2D696">
      <w:pPr>
        <w:pStyle w:val="165"/>
        <w:rPr>
          <w:rFonts w:hint="eastAsia"/>
        </w:rPr>
      </w:pPr>
      <w:r>
        <w:rPr>
          <w:rFonts w:hint="eastAsia"/>
        </w:rPr>
        <w:t>（三）实习类型与规模分布</w:t>
      </w:r>
    </w:p>
    <w:p w14:paraId="3BAF1361">
      <w:pPr>
        <w:pStyle w:val="166"/>
        <w:rPr>
          <w:rFonts w:hint="eastAsia"/>
        </w:rPr>
      </w:pPr>
      <w:r>
        <w:rPr>
          <w:rFonts w:hint="eastAsia"/>
        </w:rPr>
        <w:t>统计本专业本届毕业实习学生总人数，明确集中实习与分散实习的人数及比例；说明实习单位性质分布，以及本专业学生参与集中实习项目的情况。</w:t>
      </w:r>
    </w:p>
    <w:p w14:paraId="468756BD">
      <w:pPr>
        <w:pStyle w:val="165"/>
        <w:rPr>
          <w:rFonts w:hint="eastAsia"/>
        </w:rPr>
      </w:pPr>
      <w:r>
        <w:rPr>
          <w:rFonts w:hint="eastAsia"/>
        </w:rPr>
        <w:t>（四）实习基地使用情况</w:t>
      </w:r>
    </w:p>
    <w:p w14:paraId="51177D15">
      <w:pPr>
        <w:pStyle w:val="166"/>
        <w:rPr>
          <w:rFonts w:hint="eastAsia"/>
        </w:rPr>
      </w:pPr>
      <w:r>
        <w:rPr>
          <w:rFonts w:hint="eastAsia"/>
        </w:rPr>
        <w:t>梳理本专业本次毕业实习使用的校内外实践基地清单，包括共建基地、新增基地及续约基地的数量；说明基地容纳本专业学生规模、专业对口程度及运行状态；对校外实践基地的教学条件、指导力量、安全保障等进行综合评价。</w:t>
      </w:r>
    </w:p>
    <w:p w14:paraId="0D26621A">
      <w:pPr>
        <w:pStyle w:val="165"/>
        <w:rPr>
          <w:rFonts w:hint="eastAsia"/>
          <w:color w:val="auto"/>
        </w:rPr>
      </w:pPr>
      <w:r>
        <w:rPr>
          <w:rFonts w:hint="eastAsia"/>
          <w:color w:val="auto"/>
        </w:rPr>
        <w:t>（五）实习考核与成绩分布</w:t>
      </w:r>
    </w:p>
    <w:p w14:paraId="148E4043">
      <w:pPr>
        <w:pStyle w:val="166"/>
        <w:rPr>
          <w:rFonts w:hint="eastAsia"/>
          <w:color w:val="auto"/>
        </w:rPr>
      </w:pPr>
      <w:r>
        <w:rPr>
          <w:rFonts w:hint="eastAsia"/>
          <w:color w:val="auto"/>
        </w:rPr>
        <w:t>依据《管理办法》第十二条至第十四条，说明本专业实习考核的组织方式、考核内容及成绩评定结果。列明优秀、良好、中等、及格、不及格各等级的学生人数及占比，并说明优秀比例是否控制在规定范围内。</w:t>
      </w:r>
    </w:p>
    <w:p w14:paraId="30440263">
      <w:pPr>
        <w:pStyle w:val="165"/>
        <w:rPr>
          <w:rFonts w:hint="eastAsia"/>
        </w:rPr>
      </w:pPr>
      <w:r>
        <w:rPr>
          <w:rFonts w:hint="eastAsia"/>
        </w:rPr>
        <w:t>（六）经验体会与主要成效</w:t>
      </w:r>
    </w:p>
    <w:p w14:paraId="3C1C64B6">
      <w:pPr>
        <w:pStyle w:val="166"/>
        <w:rPr>
          <w:rFonts w:hint="eastAsia"/>
        </w:rPr>
      </w:pPr>
      <w:r>
        <w:rPr>
          <w:rFonts w:hint="eastAsia"/>
        </w:rPr>
        <w:t>总结本专业本次毕业实习在促进学生理论联系实际、提升职业素养、深化校企合作等方面的主要成效；提炼在实习组织、过程管理、指导服务等方面形成的好经验、好做法。</w:t>
      </w:r>
    </w:p>
    <w:p w14:paraId="28505E4E">
      <w:pPr>
        <w:pStyle w:val="164"/>
        <w:rPr>
          <w:rFonts w:hint="eastAsia"/>
        </w:rPr>
      </w:pPr>
      <w:r>
        <w:rPr>
          <w:rFonts w:hint="eastAsia"/>
        </w:rPr>
        <w:t>二、工作举措与实施成效</w:t>
      </w:r>
    </w:p>
    <w:p w14:paraId="2E3E950D">
      <w:pPr>
        <w:pStyle w:val="166"/>
        <w:rPr>
          <w:rFonts w:hint="eastAsia"/>
        </w:rPr>
      </w:pPr>
      <w:r>
        <w:rPr>
          <w:rFonts w:hint="eastAsia"/>
        </w:rPr>
        <w:t>本部分应重点阐述本专业围绕毕业实习开展的具体工作举措及取得的阶段性成效，体现精细化管理和协同育人水平。</w:t>
      </w:r>
    </w:p>
    <w:p w14:paraId="31E8EED6">
      <w:pPr>
        <w:pStyle w:val="165"/>
        <w:rPr>
          <w:rFonts w:hint="eastAsia"/>
        </w:rPr>
      </w:pPr>
      <w:r>
        <w:rPr>
          <w:rFonts w:hint="eastAsia"/>
        </w:rPr>
        <w:t>（一）实习前组织动员与准备</w:t>
      </w:r>
    </w:p>
    <w:p w14:paraId="501F5CC9">
      <w:pPr>
        <w:pStyle w:val="166"/>
        <w:rPr>
          <w:rFonts w:hint="eastAsia"/>
        </w:rPr>
      </w:pPr>
      <w:r>
        <w:rPr>
          <w:rFonts w:hint="eastAsia"/>
        </w:rPr>
        <w:t>依据《管理办法》第五条，说明本专业实习前的组织动员工作安排，包括实习态度、实习纪律、安全教育等方面的思想教育开展情况；介绍本专业实习相关材料汇编成册及发放情况，明确材料是否涵盖实习要求、计划安排、考核标准、成绩评定办法等内容。</w:t>
      </w:r>
    </w:p>
    <w:p w14:paraId="5E376B13">
      <w:pPr>
        <w:pStyle w:val="165"/>
        <w:rPr>
          <w:rFonts w:hint="eastAsia"/>
        </w:rPr>
      </w:pPr>
      <w:r>
        <w:rPr>
          <w:rFonts w:hint="eastAsia"/>
        </w:rPr>
        <w:t>（二）实习过程质量监控与指导</w:t>
      </w:r>
    </w:p>
    <w:p w14:paraId="0F13B2DD">
      <w:pPr>
        <w:pStyle w:val="166"/>
        <w:rPr>
          <w:rFonts w:hint="eastAsia"/>
        </w:rPr>
      </w:pPr>
      <w:r>
        <w:rPr>
          <w:rFonts w:hint="eastAsia"/>
        </w:rPr>
        <w:t>依据《管理办法》第六条、第九条，说明本专业实习过程中的质量监控机制与检查工作安排。具体包括：本专业指导教师深入实习单位熟悉现场、制定实习实施计划的情况；指导教师开展面对面指导、组织教学与参观活动的频次；定期向实习单位汇报实习情况、争取协同支持的沟通机制；本专业学生实习手册、实习日记的填写检查情况；对违反纪律学生的批评教育及处理情况。</w:t>
      </w:r>
    </w:p>
    <w:p w14:paraId="01C17E8A">
      <w:pPr>
        <w:pStyle w:val="165"/>
        <w:rPr>
          <w:rFonts w:hint="eastAsia"/>
        </w:rPr>
      </w:pPr>
      <w:r>
        <w:rPr>
          <w:rFonts w:hint="eastAsia"/>
        </w:rPr>
        <w:t>（三）集中实习组织实施</w:t>
      </w:r>
    </w:p>
    <w:p w14:paraId="772014B9">
      <w:pPr>
        <w:pStyle w:val="166"/>
        <w:rPr>
          <w:rFonts w:hint="eastAsia"/>
        </w:rPr>
      </w:pPr>
      <w:r>
        <w:rPr>
          <w:rFonts w:hint="eastAsia"/>
        </w:rPr>
        <w:t>集中实习安排，详细说明本专业集中实习的选拔组织、单位对接、岗位匹配、过程管理及成效评估情况。</w:t>
      </w:r>
    </w:p>
    <w:p w14:paraId="24C7FDF0">
      <w:pPr>
        <w:pStyle w:val="165"/>
        <w:rPr>
          <w:rFonts w:hint="eastAsia"/>
        </w:rPr>
      </w:pPr>
      <w:r>
        <w:rPr>
          <w:rFonts w:hint="eastAsia"/>
        </w:rPr>
        <w:t>（四）校外实践基地建设</w:t>
      </w:r>
    </w:p>
    <w:p w14:paraId="2765ACFE">
      <w:pPr>
        <w:pStyle w:val="166"/>
        <w:rPr>
          <w:rFonts w:hint="eastAsia"/>
        </w:rPr>
      </w:pPr>
      <w:r>
        <w:rPr>
          <w:rFonts w:hint="eastAsia"/>
        </w:rPr>
        <w:t>说明本专业在本学年在巩固、拓展校外实践基地方面的具体举措，包括新建基地数量、合作协议签署、基地挂牌、校企双方职责约定等；介绍基地在接纳本专业学生实习、提供企业导师、保障实习条件等方面的支撑作用。</w:t>
      </w:r>
    </w:p>
    <w:p w14:paraId="02AA46B9">
      <w:pPr>
        <w:pStyle w:val="165"/>
        <w:rPr>
          <w:rFonts w:hint="eastAsia" w:eastAsia="楷体"/>
          <w:color w:val="auto"/>
          <w:lang w:eastAsia="zh-CN"/>
        </w:rPr>
      </w:pPr>
      <w:r>
        <w:rPr>
          <w:rFonts w:hint="eastAsia"/>
          <w:color w:val="auto"/>
        </w:rPr>
        <w:t>（五）实习考核</w:t>
      </w:r>
      <w:r>
        <w:rPr>
          <w:rFonts w:hint="eastAsia"/>
          <w:color w:val="auto"/>
          <w:lang w:eastAsia="zh-CN"/>
        </w:rPr>
        <w:t>与质量分析</w:t>
      </w:r>
      <w:bookmarkStart w:id="0" w:name="_GoBack"/>
      <w:bookmarkEnd w:id="0"/>
    </w:p>
    <w:p w14:paraId="5967CE65">
      <w:pPr>
        <w:pStyle w:val="166"/>
        <w:rPr>
          <w:rFonts w:hint="eastAsia"/>
          <w:color w:val="auto"/>
        </w:rPr>
      </w:pPr>
      <w:r>
        <w:rPr>
          <w:rFonts w:hint="eastAsia"/>
          <w:color w:val="auto"/>
        </w:rPr>
        <w:t>依据《管理办法》第十三条，详细说明本专业成绩评定的组织实施过程，包括指导教师初评、学院审核等环节；对本专业实习报告的质量分析进行归纳；总结本专业实习经验交流会的召开情况。</w:t>
      </w:r>
    </w:p>
    <w:p w14:paraId="7E65D274">
      <w:pPr>
        <w:pStyle w:val="164"/>
        <w:rPr>
          <w:rFonts w:hint="eastAsia"/>
        </w:rPr>
      </w:pPr>
      <w:r>
        <w:rPr>
          <w:rFonts w:hint="eastAsia"/>
        </w:rPr>
        <w:t>三、存在问题</w:t>
      </w:r>
    </w:p>
    <w:p w14:paraId="2347B436">
      <w:pPr>
        <w:pStyle w:val="166"/>
        <w:rPr>
          <w:rFonts w:hint="eastAsia"/>
        </w:rPr>
      </w:pPr>
      <w:r>
        <w:rPr>
          <w:rFonts w:hint="eastAsia"/>
        </w:rPr>
        <w:t>本部分应坚持问题导向，从实习管理、组织实施、条件保障、育人效果等维度，实事求是地梳理本专业本次毕业实习中存在的突出问题与薄弱环节，避免空泛表述。</w:t>
      </w:r>
    </w:p>
    <w:p w14:paraId="10D95011">
      <w:pPr>
        <w:pStyle w:val="165"/>
        <w:rPr>
          <w:rFonts w:hint="eastAsia"/>
        </w:rPr>
      </w:pPr>
      <w:r>
        <w:rPr>
          <w:rFonts w:hint="eastAsia"/>
        </w:rPr>
        <w:t>（一）组织管理层面</w:t>
      </w:r>
    </w:p>
    <w:p w14:paraId="7BE1447C">
      <w:pPr>
        <w:pStyle w:val="166"/>
        <w:rPr>
          <w:rFonts w:hint="eastAsia"/>
        </w:rPr>
      </w:pPr>
      <w:r>
        <w:rPr>
          <w:rFonts w:hint="eastAsia"/>
        </w:rPr>
        <w:t>如本专业实习计划执行刚性不足，毕业实习大纲修订滞后；所在学院领导小组对本专业统筹协调作用发挥不充分；本专业实习过程信息化管理手段欠缺等。</w:t>
      </w:r>
    </w:p>
    <w:p w14:paraId="0C0D3E9D">
      <w:pPr>
        <w:pStyle w:val="165"/>
        <w:rPr>
          <w:rFonts w:hint="eastAsia"/>
        </w:rPr>
      </w:pPr>
      <w:r>
        <w:rPr>
          <w:rFonts w:hint="eastAsia"/>
        </w:rPr>
        <w:t>（二）指导教师层面</w:t>
      </w:r>
    </w:p>
    <w:p w14:paraId="7327C05C">
      <w:pPr>
        <w:pStyle w:val="166"/>
        <w:rPr>
          <w:rFonts w:hint="eastAsia"/>
        </w:rPr>
      </w:pPr>
      <w:r>
        <w:rPr>
          <w:rFonts w:hint="eastAsia"/>
        </w:rPr>
        <w:t>如本专业个别指导教师更换频繁，企业现场指导频次不足；初级职称教师单独指导现象；本专业双导师协同机制尚未健全等。</w:t>
      </w:r>
    </w:p>
    <w:p w14:paraId="570B7385">
      <w:pPr>
        <w:pStyle w:val="165"/>
        <w:rPr>
          <w:rFonts w:hint="eastAsia"/>
        </w:rPr>
      </w:pPr>
      <w:r>
        <w:rPr>
          <w:rFonts w:hint="eastAsia"/>
        </w:rPr>
        <w:t>（三）学生层面</w:t>
      </w:r>
    </w:p>
    <w:p w14:paraId="6D5B96F2">
      <w:pPr>
        <w:pStyle w:val="166"/>
        <w:rPr>
          <w:rFonts w:hint="eastAsia"/>
        </w:rPr>
      </w:pPr>
      <w:r>
        <w:rPr>
          <w:rFonts w:hint="eastAsia"/>
        </w:rPr>
        <w:t>如本专业部分学生实习纪律意识淡薄，请假审批程序执行不严；实习日记填写不认真，实习报告质量参差不齐；分散实习学生过程监管难度大等。</w:t>
      </w:r>
    </w:p>
    <w:p w14:paraId="6DBAB5C0">
      <w:pPr>
        <w:pStyle w:val="165"/>
        <w:rPr>
          <w:rFonts w:hint="eastAsia"/>
        </w:rPr>
      </w:pPr>
      <w:r>
        <w:rPr>
          <w:rFonts w:hint="eastAsia"/>
        </w:rPr>
        <w:t>（四）基地与保障层面</w:t>
      </w:r>
    </w:p>
    <w:p w14:paraId="2EDB800F">
      <w:pPr>
        <w:pStyle w:val="166"/>
        <w:rPr>
          <w:rFonts w:hint="eastAsia"/>
        </w:rPr>
      </w:pPr>
      <w:r>
        <w:rPr>
          <w:rFonts w:hint="eastAsia"/>
        </w:rPr>
        <w:t>如本专业实习基地专业对口率有待提升，部分基地接纳能力饱和；本专业实习经费使用与保障存在缺口；企业实践安全应急预案针对性不强等。</w:t>
      </w:r>
    </w:p>
    <w:p w14:paraId="35CC9C49">
      <w:pPr>
        <w:pStyle w:val="165"/>
        <w:rPr>
          <w:rFonts w:hint="eastAsia"/>
        </w:rPr>
      </w:pPr>
      <w:r>
        <w:rPr>
          <w:rFonts w:hint="eastAsia"/>
        </w:rPr>
        <w:t>（五）考核评价层面</w:t>
      </w:r>
    </w:p>
    <w:p w14:paraId="05947863">
      <w:pPr>
        <w:pStyle w:val="166"/>
        <w:rPr>
          <w:rFonts w:hint="eastAsia"/>
        </w:rPr>
      </w:pPr>
      <w:r>
        <w:rPr>
          <w:rFonts w:hint="eastAsia"/>
        </w:rPr>
        <w:t>如本专业成绩评定标准把握不一，优秀比例控制执行存在偏差；实习考核与毕业要求达成度的关联分析不足等。</w:t>
      </w:r>
    </w:p>
    <w:p w14:paraId="2BDB159A">
      <w:pPr>
        <w:pStyle w:val="164"/>
        <w:rPr>
          <w:rFonts w:hint="eastAsia"/>
        </w:rPr>
      </w:pPr>
      <w:r>
        <w:rPr>
          <w:rFonts w:hint="eastAsia"/>
        </w:rPr>
        <w:t>四、整改措施与工作计划</w:t>
      </w:r>
    </w:p>
    <w:p w14:paraId="0ED89229">
      <w:pPr>
        <w:pStyle w:val="166"/>
        <w:rPr>
          <w:rFonts w:hint="eastAsia"/>
        </w:rPr>
      </w:pPr>
      <w:r>
        <w:rPr>
          <w:rFonts w:hint="eastAsia"/>
        </w:rPr>
        <w:t>本部分须针对第三部分梳理的问题，逐项提出具体、可操作、有针对性的整改措施，并明确责任主体、完成时限及预期目标。</w:t>
      </w:r>
    </w:p>
    <w:p w14:paraId="256BE0E0">
      <w:pPr>
        <w:pStyle w:val="165"/>
        <w:rPr>
          <w:rFonts w:hint="eastAsia"/>
        </w:rPr>
      </w:pPr>
      <w:r>
        <w:rPr>
          <w:rFonts w:hint="eastAsia"/>
        </w:rPr>
        <w:t>（一）完善制度机制</w:t>
      </w:r>
    </w:p>
    <w:p w14:paraId="369EAAC5">
      <w:pPr>
        <w:pStyle w:val="166"/>
        <w:rPr>
          <w:rFonts w:hint="eastAsia"/>
        </w:rPr>
      </w:pPr>
      <w:r>
        <w:rPr>
          <w:rFonts w:hint="eastAsia"/>
        </w:rPr>
        <w:t>明确本专业下一年度实习大纲修订、实习计划编审、指导教师选聘与培训的具体安排；建立本专业实习过程动态监测与预警机制，强化计划执行的刚性约束。</w:t>
      </w:r>
    </w:p>
    <w:p w14:paraId="000A26A8">
      <w:pPr>
        <w:pStyle w:val="165"/>
        <w:rPr>
          <w:rFonts w:hint="eastAsia"/>
        </w:rPr>
      </w:pPr>
      <w:r>
        <w:rPr>
          <w:rFonts w:hint="eastAsia"/>
        </w:rPr>
        <w:t>（二）强化过程管理</w:t>
      </w:r>
    </w:p>
    <w:p w14:paraId="20799B67">
      <w:pPr>
        <w:pStyle w:val="166"/>
        <w:rPr>
          <w:rFonts w:hint="eastAsia"/>
        </w:rPr>
      </w:pPr>
      <w:r>
        <w:rPr>
          <w:rFonts w:hint="eastAsia"/>
        </w:rPr>
        <w:t>细化本专业实习前动员教育、实习中巡查指导、实习后考核评定的全流程管理标准；严格落实本专业指导教师深入实习单位、定期汇报、联合指导等制度要求；加强对本专业分散实习学生的跟踪管理。</w:t>
      </w:r>
    </w:p>
    <w:p w14:paraId="744B83E0">
      <w:pPr>
        <w:pStyle w:val="165"/>
        <w:rPr>
          <w:rFonts w:hint="eastAsia"/>
        </w:rPr>
      </w:pPr>
      <w:r>
        <w:rPr>
          <w:rFonts w:hint="eastAsia"/>
        </w:rPr>
        <w:t>（三）优化基地布局</w:t>
      </w:r>
    </w:p>
    <w:p w14:paraId="100F1E77">
      <w:pPr>
        <w:pStyle w:val="166"/>
        <w:rPr>
          <w:rFonts w:hint="eastAsia"/>
        </w:rPr>
      </w:pPr>
      <w:r>
        <w:rPr>
          <w:rFonts w:hint="eastAsia"/>
        </w:rPr>
        <w:t>制定本专业校外实践基地遴选、评估与退出机制，重点拓展与本专业契合度高、接纳能力强、指导力量足的优质基地；深化本专业</w:t>
      </w:r>
      <w:r>
        <w:t>"</w:t>
      </w:r>
      <w:r>
        <w:rPr>
          <w:rFonts w:hint="eastAsia"/>
        </w:rPr>
        <w:t>百企千岗</w:t>
      </w:r>
      <w:r>
        <w:t>"</w:t>
      </w:r>
      <w:r>
        <w:rPr>
          <w:rFonts w:hint="eastAsia"/>
        </w:rPr>
        <w:t>等集中实习项目的校企合作。</w:t>
      </w:r>
    </w:p>
    <w:p w14:paraId="2F1078E6">
      <w:pPr>
        <w:pStyle w:val="165"/>
        <w:rPr>
          <w:rFonts w:hint="eastAsia"/>
        </w:rPr>
      </w:pPr>
      <w:r>
        <w:rPr>
          <w:rFonts w:hint="eastAsia"/>
        </w:rPr>
        <w:t>（四）严格考核标准</w:t>
      </w:r>
    </w:p>
    <w:p w14:paraId="25FAD5D7">
      <w:pPr>
        <w:pStyle w:val="166"/>
        <w:rPr>
          <w:rFonts w:hint="eastAsia"/>
        </w:rPr>
      </w:pPr>
      <w:r>
        <w:rPr>
          <w:rFonts w:hint="eastAsia"/>
        </w:rPr>
        <w:t>统一本专业成绩评定尺度，严格执行优秀比例控制要求；建立本专业实习报告质量抽检与反馈机制；完善实习成绩不及格学生的补做帮扶与学业预警联动机制。</w:t>
      </w:r>
    </w:p>
    <w:p w14:paraId="22EA5B1F">
      <w:pPr>
        <w:pStyle w:val="165"/>
        <w:rPr>
          <w:rFonts w:hint="eastAsia"/>
        </w:rPr>
      </w:pPr>
      <w:r>
        <w:rPr>
          <w:rFonts w:hint="eastAsia"/>
        </w:rPr>
        <w:t>（五）加强条件保障</w:t>
      </w:r>
    </w:p>
    <w:p w14:paraId="59107541">
      <w:pPr>
        <w:pStyle w:val="166"/>
        <w:rPr>
          <w:rFonts w:hint="eastAsia"/>
        </w:rPr>
      </w:pPr>
      <w:r>
        <w:rPr>
          <w:rFonts w:hint="eastAsia"/>
        </w:rPr>
        <w:t>依据《管理办法》第十六条，规范本专业实习经费使用管理；完善本专业学生实习期间的安全教育、保险购买、应急联络及权益保障体系；探索本专业实习管理信息化平台建设。</w:t>
      </w:r>
    </w:p>
    <w:sectPr>
      <w:pgSz w:w="11906" w:h="16838"/>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0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5800"/>
    <w:rsid w:val="00326F90"/>
    <w:rsid w:val="005262F1"/>
    <w:rsid w:val="00590FC0"/>
    <w:rsid w:val="00670E1F"/>
    <w:rsid w:val="006D57EC"/>
    <w:rsid w:val="00962BEA"/>
    <w:rsid w:val="00967F3B"/>
    <w:rsid w:val="00AA1D8D"/>
    <w:rsid w:val="00B47730"/>
    <w:rsid w:val="00CB0664"/>
    <w:rsid w:val="00FC693F"/>
    <w:rsid w:val="1C1E6EE4"/>
    <w:rsid w:val="332B5D17"/>
    <w:rsid w:val="36EE3C2B"/>
    <w:rsid w:val="387C449C"/>
    <w:rsid w:val="3A890638"/>
    <w:rsid w:val="43D23F8D"/>
    <w:rsid w:val="4D88228C"/>
    <w:rsid w:val="57931F59"/>
    <w:rsid w:val="5DB04EE7"/>
    <w:rsid w:val="602F47E9"/>
    <w:rsid w:val="6496308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uiPriority w:val="99"/>
    <w:rPr>
      <w:sz w:val="16"/>
      <w:szCs w:val="16"/>
    </w:rPr>
  </w:style>
  <w:style w:type="character" w:customStyle="1" w:styleId="147">
    <w:name w:val="宏文本 字符"/>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uiPriority w:val="29"/>
    <w:rPr>
      <w:i/>
      <w:iCs/>
      <w:color w:val="000000" w:themeColor="text1"/>
      <w14:textFill>
        <w14:solidFill>
          <w14:schemeClr w14:val="tx1"/>
        </w14:solidFill>
      </w14:textFill>
    </w:rPr>
  </w:style>
  <w:style w:type="character" w:customStyle="1" w:styleId="150">
    <w:name w:val="标题 4 字符"/>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章标题样式"/>
    <w:basedOn w:val="1"/>
    <w:qFormat/>
    <w:uiPriority w:val="0"/>
    <w:pPr>
      <w:spacing w:after="0"/>
    </w:pPr>
    <w:rPr>
      <w:rFonts w:ascii="黑体" w:hAnsi="黑体" w:eastAsia="黑体"/>
      <w:bCs/>
      <w:color w:val="000000"/>
      <w:sz w:val="28"/>
      <w:szCs w:val="28"/>
      <w:lang w:eastAsia="zh-CN"/>
    </w:rPr>
  </w:style>
  <w:style w:type="paragraph" w:customStyle="1" w:styleId="165">
    <w:name w:val="节标题样式"/>
    <w:basedOn w:val="1"/>
    <w:qFormat/>
    <w:uiPriority w:val="0"/>
    <w:pPr>
      <w:spacing w:after="0"/>
      <w:ind w:firstLine="420"/>
    </w:pPr>
    <w:rPr>
      <w:rFonts w:ascii="楷体" w:hAnsi="楷体" w:eastAsia="楷体"/>
      <w:b/>
      <w:color w:val="000000"/>
      <w:sz w:val="24"/>
      <w:lang w:eastAsia="zh-CN"/>
    </w:rPr>
  </w:style>
  <w:style w:type="paragraph" w:customStyle="1" w:styleId="166">
    <w:name w:val="正文文本样式"/>
    <w:basedOn w:val="1"/>
    <w:qFormat/>
    <w:uiPriority w:val="0"/>
    <w:pPr>
      <w:spacing w:after="0" w:line="360" w:lineRule="auto"/>
      <w:ind w:firstLine="420"/>
    </w:pPr>
    <w:rPr>
      <w:rFonts w:ascii="宋体" w:hAnsi="宋体" w:eastAsia="宋体"/>
      <w:color w:val="000000"/>
      <w:sz w:val="24"/>
      <w:lang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2624</Words>
  <Characters>2646</Characters>
  <Lines>19</Lines>
  <Paragraphs>5</Paragraphs>
  <TotalTime>45</TotalTime>
  <ScaleCrop>false</ScaleCrop>
  <LinksUpToDate>false</LinksUpToDate>
  <CharactersWithSpaces>2649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2026-06-20T14:47:00Z</dcterms:created>
  <dc:creator>python-docx</dc:creator>
  <dc:description>generated by python-docx</dc:description>
  <cp:lastModifiedBy>飞燕</cp:lastModifiedBy>
  <dcterms:modified xsi:type="dcterms:W3CDTF">2026-06-22T03:01:51Z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eyJoZGlkIjoiYWMyNzVmZTVjNDE2Y2NhM2QzZmVkZGI3NGVhZWUyY2EiLCJ1c2VySWQiOiIyNjczMDc3NDkifQ==</vt:lpwstr>
  </property>
  <property fmtid="{D5CDD505-2E9C-101B-9397-08002B2CF9AE}" pid="3" name="KSOProductBuildVer">
    <vt:lpwstr>2052-12.1.0.26375</vt:lpwstr>
  </property>
  <property fmtid="{D5CDD505-2E9C-101B-9397-08002B2CF9AE}" pid="4" name="ICV">
    <vt:lpwstr>3C8CA78CCE6742B982494C52DCBB4FE8_12</vt:lpwstr>
  </property>
</Properties>
</file>